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河北省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建筑装饰业协会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住宅装饰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企业品牌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推介活动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第一条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为推动我省住宅装饰整体水平的不断提高，依据协会章程和会员企业情况，制定本办法。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第二条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鼓励各市装饰协会推荐当地企业参加推介活动，由相关市装饰协会汇总推介企业名单上报河北省建筑装饰业协会（简称“省装协”）。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第三条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本活动由会员企业自愿参加，不收取任何费用。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第二章 推介条件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第四条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参加推介活动的企业必须是省装协会员。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第五条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住宅装饰企业</w:t>
      </w:r>
      <w:r>
        <w:rPr>
          <w:rFonts w:hint="eastAsia"/>
          <w:sz w:val="28"/>
          <w:szCs w:val="28"/>
          <w:lang w:val="en-US" w:eastAsia="zh-CN"/>
        </w:rPr>
        <w:t>推介要求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1、推介对象为住宅装饰企</w:t>
      </w:r>
      <w:r>
        <w:rPr>
          <w:rFonts w:hint="eastAsia"/>
          <w:sz w:val="28"/>
          <w:szCs w:val="28"/>
          <w:lang w:val="en-US" w:eastAsia="zh-CN"/>
        </w:rPr>
        <w:t>业或具有住宅装饰业务的独立法人企业。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推介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  <w:lang w:val="en-US" w:eastAsia="zh-CN"/>
        </w:rPr>
        <w:t>住宅</w:t>
      </w:r>
      <w:r>
        <w:rPr>
          <w:rFonts w:hint="eastAsia" w:ascii="宋体" w:hAnsi="宋体"/>
          <w:sz w:val="28"/>
          <w:szCs w:val="28"/>
        </w:rPr>
        <w:t>装饰工程施工及设计</w:t>
      </w:r>
      <w:r>
        <w:rPr>
          <w:rFonts w:hint="eastAsia" w:ascii="宋体" w:hAnsi="宋体"/>
          <w:sz w:val="28"/>
          <w:szCs w:val="28"/>
          <w:lang w:val="en-US" w:eastAsia="zh-CN"/>
        </w:rPr>
        <w:t>累计</w:t>
      </w:r>
      <w:r>
        <w:rPr>
          <w:rFonts w:hint="eastAsia" w:ascii="宋体" w:hAnsi="宋体"/>
          <w:sz w:val="28"/>
          <w:szCs w:val="28"/>
        </w:rPr>
        <w:t>收入营业总额</w:t>
      </w:r>
      <w:r>
        <w:rPr>
          <w:rFonts w:hint="eastAsia" w:ascii="宋体" w:hAnsi="宋体"/>
          <w:sz w:val="28"/>
          <w:szCs w:val="28"/>
          <w:lang w:val="en-US" w:eastAsia="zh-CN"/>
        </w:rPr>
        <w:t>500万</w:t>
      </w:r>
      <w:r>
        <w:rPr>
          <w:rFonts w:hint="eastAsia" w:ascii="宋体" w:hAnsi="宋体"/>
          <w:sz w:val="28"/>
          <w:szCs w:val="28"/>
        </w:rPr>
        <w:t>元人民币</w:t>
      </w:r>
      <w:r>
        <w:rPr>
          <w:rFonts w:hint="eastAsia" w:ascii="宋体" w:hAnsi="宋体"/>
          <w:sz w:val="28"/>
          <w:szCs w:val="28"/>
          <w:lang w:val="en-US" w:eastAsia="zh-CN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第六条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住宅部品企业推介要求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1、推介对象为</w:t>
      </w:r>
      <w:r>
        <w:rPr>
          <w:rFonts w:hint="eastAsia"/>
          <w:sz w:val="28"/>
          <w:szCs w:val="28"/>
          <w:lang w:val="en-US" w:eastAsia="zh-CN"/>
        </w:rPr>
        <w:t>住宅装饰中涉及的部品产品。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2、推介的部品产品必须拥有有效期内的质量检验报告，并已经投入市场经营。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3、推介的部品产品若属于国家有特殊生产要求的，必须提供相关的生产许可证明。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第三章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推介流程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第七条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参加推介活动的企业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从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省装协官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网上下载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表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及相关附件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，填写盖章后报送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至省装协承办专业委员会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 xml:space="preserve">第八条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工作包括资料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汇总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、专家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审查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、公示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个阶段。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 xml:space="preserve">第九条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推介活动办公室设在</w:t>
      </w:r>
      <w:r>
        <w:rPr>
          <w:rFonts w:hint="eastAsia"/>
          <w:sz w:val="28"/>
          <w:szCs w:val="28"/>
          <w:lang w:val="en-US" w:eastAsia="zh-CN"/>
        </w:rPr>
        <w:t>住宅装修和部品产业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，由住宅委负责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对资料进行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汇总整理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，资料合规后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交由专家审查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 xml:space="preserve">第十条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住宅装饰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企业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需提供</w:t>
      </w:r>
      <w:r>
        <w:rPr>
          <w:rFonts w:hint="eastAsia" w:hAnsi="宋体" w:cs="宋体"/>
          <w:b w:val="0"/>
          <w:bCs/>
          <w:sz w:val="28"/>
          <w:szCs w:val="28"/>
          <w:highlight w:val="none"/>
          <w:lang w:val="en-US" w:eastAsia="zh-CN"/>
        </w:rPr>
        <w:t>该案例的相关视频资料，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专家对工程进行评审。部品企业需提供产品图册或视频资料，供专家评审。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第十一条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专家评审后确定拟推介名单，并在国家和省级征信平台中查看企业信誉情况，有失信行为记录的一票否决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住宅委将拟推介名单报省装协秘书处，由会长办公会确定推介名单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第十二条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推介名单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在协会媒体进行公示，公示期结束后发文公布。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第四章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推介资料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第十三条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需要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递交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的纸质资料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申报表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一份，分为</w:t>
      </w:r>
      <w:r>
        <w:rPr>
          <w:rFonts w:hint="eastAsia"/>
          <w:sz w:val="28"/>
          <w:szCs w:val="28"/>
          <w:lang w:val="en-US" w:eastAsia="zh-CN"/>
        </w:rPr>
        <w:t>住宅装饰</w:t>
      </w:r>
      <w:r>
        <w:rPr>
          <w:rFonts w:hint="eastAsia"/>
          <w:sz w:val="28"/>
          <w:szCs w:val="28"/>
          <w:lang w:eastAsia="zh-CN"/>
        </w:rPr>
        <w:t>企业、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住宅部品企业，由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参加推介活动的企业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根据附件样表及填表说明，用计算机A4幅面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面打印填写，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表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需单独装订。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2、其它纸质资料：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（1）企业简介300字左右（部品企业须额外提供产品介绍）；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（2）企业《营业执照》复印件；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3）住宅装饰企业提供一个案例的施工合同（要求体现金额、工期、施工内容）、施工许可证明、施工图、设计说明、效果图、材料的产品合格证书、性能检测报告、进场验收记录和复验报告、施工日志、隐蔽工程验收记录、室内环境质量检测验收报告复印件，以及该案例的相关视频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（4）住宅部品企业须提供产品所属证明或代理证明及产品样式；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（5）获得</w:t>
      </w:r>
      <w:r>
        <w:rPr>
          <w:rFonts w:hint="eastAsia" w:ascii="宋体" w:hAnsi="宋体" w:eastAsia="宋体" w:cs="宋体"/>
          <w:sz w:val="28"/>
          <w:szCs w:val="28"/>
        </w:rPr>
        <w:t>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家</w:t>
      </w:r>
      <w:r>
        <w:rPr>
          <w:rFonts w:hint="eastAsia" w:ascii="宋体" w:hAnsi="宋体" w:eastAsia="宋体" w:cs="宋体"/>
          <w:sz w:val="28"/>
          <w:szCs w:val="28"/>
        </w:rPr>
        <w:t>、省（直辖市）、市协会和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主管部门有关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住宅装饰类或品牌影响力类</w:t>
      </w:r>
      <w:r>
        <w:rPr>
          <w:rFonts w:hint="eastAsia" w:ascii="宋体" w:hAnsi="宋体" w:eastAsia="宋体" w:cs="宋体"/>
          <w:sz w:val="28"/>
          <w:szCs w:val="28"/>
        </w:rPr>
        <w:t>奖项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证明材料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（6）相关质量管理体系认证证明；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（7）扶贫、慈善、助残等公益活动证明；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第十四条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资料不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退还，请各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企业将原件自行留底。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第五章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推介指标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第十五条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推介采用打分制，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每项指标具有不同的分值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，将</w:t>
      </w:r>
      <w:r>
        <w:rPr>
          <w:rFonts w:hint="eastAsia" w:ascii="宋体" w:hAnsi="宋体"/>
          <w:sz w:val="28"/>
          <w:szCs w:val="28"/>
          <w:lang w:val="en-US" w:eastAsia="zh-CN"/>
        </w:rPr>
        <w:t>各项实际得分相加后</w:t>
      </w:r>
      <w:r>
        <w:rPr>
          <w:rFonts w:hint="eastAsia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得出该企业最终的总分</w:t>
      </w:r>
      <w:r>
        <w:rPr>
          <w:rFonts w:hint="eastAsia" w:hAnsi="宋体"/>
          <w:sz w:val="28"/>
          <w:szCs w:val="28"/>
          <w:lang w:val="en-US" w:eastAsia="zh-CN"/>
        </w:rPr>
        <w:t>，依据总分排列推介次序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第十六条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住宅装饰企业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指标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1、经营状况：推介年度1月1日至12月31日期间工程收入总额。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2、质量管理体系：相关质量管理体系认证证明。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3、荣誉情况：获得国家、省（直辖市）、市协会和相关主管部门有关住宅装饰类或品牌类奖项证明材料；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4、技术指标：管理资料、设计水平、施工质量。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5、公司管理：企业规模、职工数量、项目管理、创优体系、“四新”应用、诚信与售后等制度。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6、一票否决：</w:t>
      </w:r>
      <w:r>
        <w:rPr>
          <w:rFonts w:hint="eastAsia" w:ascii="宋体" w:hAnsi="宋体"/>
          <w:sz w:val="28"/>
          <w:szCs w:val="28"/>
          <w:lang w:val="en-US" w:eastAsia="zh-CN"/>
        </w:rPr>
        <w:t>“信用中国”网站https://www.creditchina.gov.cn/查询，参评人被列入失信被执行人名单、企业经营异常名录、重大税收违法案例当事人名单。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第十七条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部品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企业推介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指标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1、符合性指标：产品须有质量检测合格报告、国家规定的生产许可等证明资料。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2、功能性指标：产品在体验友好、人机工学、耐用程度方面获得良好表现。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3、艺术性指标：（形态美学/外观设计）从比例协调性、均衡稳定性、简洁、统一性诠释产品或概念的造型风格、时代性、民族性、美学价值和个体体现等。</w:t>
      </w:r>
    </w:p>
    <w:p>
      <w:pPr>
        <w:numPr>
          <w:ilvl w:val="0"/>
          <w:numId w:val="0"/>
        </w:numPr>
        <w:spacing w:line="360" w:lineRule="auto"/>
        <w:ind w:left="0" w:leftChars="0" w:firstLine="389" w:firstLineChars="13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4、一票否决：</w:t>
      </w:r>
      <w:r>
        <w:rPr>
          <w:rFonts w:hint="eastAsia" w:ascii="宋体" w:hAnsi="宋体"/>
          <w:sz w:val="28"/>
          <w:szCs w:val="28"/>
          <w:lang w:val="en-US" w:eastAsia="zh-CN"/>
        </w:rPr>
        <w:t>“信用中国”网站https://www.creditchina.gov.cn/查询，参评人被列入失信被执行人名单、企业经营异常名录、重大税收违法案例当事人名单。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第六章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活动专家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第十八条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专家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由协会设立的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专家库中随机抽取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第十九条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专家要求：作风正派、遵纪守法、责任心强、清正廉洁、热心行业工作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专业对口，具有高级技术（以上）职称，有十年以上工程实践经验的工程施工、管理及室内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装饰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设计经历。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 xml:space="preserve">第二十条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专家需对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推介企业给出专家意见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第七章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荣誉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第二十一条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召开推介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会，向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颁发证书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，推介企业列为协会媒体年度重点宣传对象。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第二十二条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协会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从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推介名单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中推荐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相关企业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全国同类活动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第八章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纪律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第二十三条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坚持公平、公正、公开原则，由协会监事会负责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工作全过程监督。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第二十四条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推介活动的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企业应如实提资料，不得弄虚作假，并按照要求，积极配合专家组工作。不准向工作人员和专家赠送礼金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、礼品、有价证券等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，对违反者，视情节轻重给予批评教育、通报批评、撤销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资格等处罚。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 xml:space="preserve">第二十五条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推介活动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的工作人员和专家要秉公办事，严守秘密，廉洁自律，不得吃拿卡要，收受礼金。对违反者，视情节轻重给予批评教育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撤销专家资格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等处罚，情节严重者承担相应法律责任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第二十六条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任何企业和个人不得仿制伪造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牌匾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和证书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，违者追究其相关责任。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第九章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第二十七条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本办法由河北省建筑装饰业协会负责解释，自发布之日起施行。原办法同时作废。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jljZjY2MWU4YTIzMmIxMjA4ZDU1OWQ2MWI0YTcifQ=="/>
  </w:docVars>
  <w:rsids>
    <w:rsidRoot w:val="2AC43827"/>
    <w:rsid w:val="00F674A0"/>
    <w:rsid w:val="02235BD9"/>
    <w:rsid w:val="045F2C95"/>
    <w:rsid w:val="054C346C"/>
    <w:rsid w:val="06777DC7"/>
    <w:rsid w:val="07E41D37"/>
    <w:rsid w:val="08B52CBB"/>
    <w:rsid w:val="08CB3C2A"/>
    <w:rsid w:val="0A1A26DE"/>
    <w:rsid w:val="0AAB7199"/>
    <w:rsid w:val="0B536728"/>
    <w:rsid w:val="0BA27E0D"/>
    <w:rsid w:val="0BF73163"/>
    <w:rsid w:val="0CF6670B"/>
    <w:rsid w:val="0FD05DF5"/>
    <w:rsid w:val="103B6129"/>
    <w:rsid w:val="112E3796"/>
    <w:rsid w:val="14AB6819"/>
    <w:rsid w:val="15EE3641"/>
    <w:rsid w:val="18657A8A"/>
    <w:rsid w:val="1B8A26BA"/>
    <w:rsid w:val="1E554E8B"/>
    <w:rsid w:val="1EC95336"/>
    <w:rsid w:val="22A879BE"/>
    <w:rsid w:val="234B50C5"/>
    <w:rsid w:val="23DB498C"/>
    <w:rsid w:val="25015C0C"/>
    <w:rsid w:val="25120D85"/>
    <w:rsid w:val="25E536B0"/>
    <w:rsid w:val="262A555E"/>
    <w:rsid w:val="263C6F6B"/>
    <w:rsid w:val="29FC2446"/>
    <w:rsid w:val="2AC43827"/>
    <w:rsid w:val="2CCA240E"/>
    <w:rsid w:val="2E087898"/>
    <w:rsid w:val="2E7609D7"/>
    <w:rsid w:val="32416F23"/>
    <w:rsid w:val="334E7303"/>
    <w:rsid w:val="37C667A8"/>
    <w:rsid w:val="37CD5754"/>
    <w:rsid w:val="3ADF31A7"/>
    <w:rsid w:val="3D425921"/>
    <w:rsid w:val="3E866860"/>
    <w:rsid w:val="3FE03F2E"/>
    <w:rsid w:val="45BA2083"/>
    <w:rsid w:val="49A665CC"/>
    <w:rsid w:val="4A596528"/>
    <w:rsid w:val="4B464A80"/>
    <w:rsid w:val="4C014054"/>
    <w:rsid w:val="4C1C0BD6"/>
    <w:rsid w:val="50711C62"/>
    <w:rsid w:val="509A7843"/>
    <w:rsid w:val="519E0B24"/>
    <w:rsid w:val="531702A7"/>
    <w:rsid w:val="535373CE"/>
    <w:rsid w:val="53BA7915"/>
    <w:rsid w:val="55111E06"/>
    <w:rsid w:val="58FF4BCD"/>
    <w:rsid w:val="5D2F159B"/>
    <w:rsid w:val="5D462846"/>
    <w:rsid w:val="5F833954"/>
    <w:rsid w:val="62A87521"/>
    <w:rsid w:val="63B07EAA"/>
    <w:rsid w:val="645F578B"/>
    <w:rsid w:val="66580256"/>
    <w:rsid w:val="67DA0997"/>
    <w:rsid w:val="71C926A1"/>
    <w:rsid w:val="72220241"/>
    <w:rsid w:val="74466AE8"/>
    <w:rsid w:val="77906642"/>
    <w:rsid w:val="78535231"/>
    <w:rsid w:val="78AF2A02"/>
    <w:rsid w:val="7C0F155E"/>
    <w:rsid w:val="7E593C19"/>
    <w:rsid w:val="7E720F22"/>
    <w:rsid w:val="7EA151FC"/>
    <w:rsid w:val="7F3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3"/>
      <w:szCs w:val="23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spacing w:before="144"/>
      <w:ind w:left="1386" w:hanging="164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2021-02-25T00:55:00Z</dcterms:created>
  <dc:creator>Messina</dc:creator>
  <cp:lastModifiedBy>杜</cp:lastModifiedBy>
  <dcterms:modified xsi:type="dcterms:W3CDTF">2024-03-08T02:02:26Z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0786779E16254145A52A3D0FCD08BCE4_13</vt:lpwstr>
  </property>
</Properties>
</file>