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910CF">
      <w:pPr>
        <w:jc w:val="left"/>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附件一</w:t>
      </w:r>
    </w:p>
    <w:p w14:paraId="74A8B489">
      <w:pPr>
        <w:snapToGrid w:val="0"/>
        <w:spacing w:line="360" w:lineRule="auto"/>
        <w:jc w:val="center"/>
        <w:rPr>
          <w:rFonts w:hint="eastAsia" w:asciiTheme="majorEastAsia" w:hAnsiTheme="majorEastAsia" w:eastAsiaTheme="majorEastAsia" w:cstheme="majorEastAsia"/>
          <w:spacing w:val="-4"/>
          <w:sz w:val="36"/>
          <w:szCs w:val="36"/>
        </w:rPr>
      </w:pPr>
      <w:r>
        <w:rPr>
          <w:rFonts w:hint="eastAsia" w:asciiTheme="majorEastAsia" w:hAnsiTheme="majorEastAsia" w:eastAsiaTheme="majorEastAsia" w:cstheme="majorEastAsia"/>
          <w:spacing w:val="-4"/>
          <w:sz w:val="36"/>
          <w:szCs w:val="36"/>
          <w:lang w:eastAsia="zh-CN"/>
        </w:rPr>
        <w:t>河北省建筑装饰优质</w:t>
      </w:r>
      <w:r>
        <w:rPr>
          <w:rFonts w:hint="eastAsia" w:asciiTheme="majorEastAsia" w:hAnsiTheme="majorEastAsia" w:eastAsiaTheme="majorEastAsia" w:cstheme="majorEastAsia"/>
          <w:spacing w:val="-4"/>
          <w:sz w:val="36"/>
          <w:szCs w:val="36"/>
        </w:rPr>
        <w:t>工程复查实施细则</w:t>
      </w:r>
    </w:p>
    <w:p w14:paraId="65E4E617">
      <w:pPr>
        <w:snapToGrid w:val="0"/>
        <w:spacing w:line="360" w:lineRule="auto"/>
        <w:jc w:val="center"/>
        <w:rPr>
          <w:rFonts w:ascii="宋体" w:hAnsi="宋体"/>
          <w:spacing w:val="-4"/>
          <w:sz w:val="30"/>
          <w:szCs w:val="30"/>
        </w:rPr>
      </w:pPr>
      <w:r>
        <w:rPr>
          <w:rFonts w:hint="eastAsia" w:ascii="宋体" w:hAnsi="宋体"/>
          <w:spacing w:val="-4"/>
          <w:sz w:val="30"/>
          <w:szCs w:val="30"/>
          <w:lang w:val="en-US" w:eastAsia="zh-CN"/>
        </w:rPr>
        <w:t>民用</w:t>
      </w:r>
      <w:r>
        <w:rPr>
          <w:rFonts w:hint="eastAsia" w:ascii="宋体" w:hAnsi="宋体"/>
          <w:spacing w:val="-4"/>
          <w:sz w:val="30"/>
          <w:szCs w:val="30"/>
        </w:rPr>
        <w:t>建筑装饰类</w:t>
      </w:r>
    </w:p>
    <w:p w14:paraId="41C0889B">
      <w:pPr>
        <w:adjustRightInd w:val="0"/>
        <w:snapToGrid w:val="0"/>
        <w:spacing w:line="360" w:lineRule="auto"/>
        <w:jc w:val="center"/>
        <w:rPr>
          <w:rFonts w:hint="eastAsia" w:asciiTheme="minorEastAsia" w:hAnsiTheme="minorEastAsia" w:eastAsiaTheme="minorEastAsia" w:cstheme="minorEastAsia"/>
          <w:b/>
          <w:bCs/>
          <w:sz w:val="30"/>
          <w:szCs w:val="30"/>
        </w:rPr>
      </w:pPr>
    </w:p>
    <w:p w14:paraId="703F05EB">
      <w:pPr>
        <w:ind w:firstLine="576" w:firstLineChars="200"/>
        <w:rPr>
          <w:rFonts w:hint="eastAsia" w:asciiTheme="minorEastAsia" w:hAnsiTheme="minorEastAsia" w:eastAsiaTheme="minorEastAsia" w:cstheme="minorEastAsia"/>
          <w:spacing w:val="-6"/>
          <w:kern w:val="0"/>
          <w:sz w:val="30"/>
          <w:szCs w:val="30"/>
        </w:rPr>
      </w:pPr>
      <w:r>
        <w:rPr>
          <w:rFonts w:hint="eastAsia" w:asciiTheme="minorEastAsia" w:hAnsiTheme="minorEastAsia" w:eastAsiaTheme="minorEastAsia" w:cstheme="minorEastAsia"/>
          <w:spacing w:val="-6"/>
          <w:kern w:val="0"/>
          <w:sz w:val="30"/>
          <w:szCs w:val="30"/>
        </w:rPr>
        <w:t>一、评分标准及要求：</w:t>
      </w:r>
    </w:p>
    <w:p w14:paraId="0B6FA2FF">
      <w:pPr>
        <w:ind w:firstLine="576" w:firstLineChars="200"/>
        <w:rPr>
          <w:rFonts w:hint="eastAsia" w:asciiTheme="minorEastAsia" w:hAnsiTheme="minorEastAsia" w:eastAsiaTheme="minorEastAsia" w:cstheme="minorEastAsia"/>
          <w:color w:val="auto"/>
          <w:spacing w:val="-6"/>
          <w:kern w:val="0"/>
          <w:sz w:val="30"/>
          <w:szCs w:val="30"/>
        </w:rPr>
      </w:pPr>
      <w:r>
        <w:rPr>
          <w:rFonts w:hint="eastAsia" w:asciiTheme="minorEastAsia" w:hAnsiTheme="minorEastAsia" w:eastAsiaTheme="minorEastAsia" w:cstheme="minorEastAsia"/>
          <w:spacing w:val="-6"/>
          <w:kern w:val="0"/>
          <w:sz w:val="30"/>
          <w:szCs w:val="30"/>
        </w:rPr>
        <w:t>鉴于复查项目的工程性质、类别、规模、使用的材料采用的工艺等各方面差别较大，故复查工程的评分采用扣分法，本细则重点列出了在资料（必要文件、工程安全证明资料、过程资料、图纸）、工程实体、新技术、总体印象等几个方面的常见问题、质量通病和涉及安全与使用的问题，结合复查中查出的问题进行评分。项目复查总分为100分，建议推荐得分在80分以上的项</w:t>
      </w:r>
      <w:r>
        <w:rPr>
          <w:rFonts w:hint="eastAsia" w:asciiTheme="minorEastAsia" w:hAnsiTheme="minorEastAsia" w:eastAsiaTheme="minorEastAsia" w:cstheme="minorEastAsia"/>
          <w:color w:val="auto"/>
          <w:spacing w:val="-6"/>
          <w:kern w:val="0"/>
          <w:sz w:val="30"/>
          <w:szCs w:val="30"/>
        </w:rPr>
        <w:t>目，</w:t>
      </w:r>
      <w:r>
        <w:rPr>
          <w:rFonts w:hint="eastAsia" w:asciiTheme="minorEastAsia" w:hAnsiTheme="minorEastAsia" w:eastAsiaTheme="minorEastAsia" w:cstheme="minorEastAsia"/>
          <w:color w:val="auto"/>
          <w:spacing w:val="-11"/>
          <w:kern w:val="0"/>
          <w:sz w:val="30"/>
          <w:szCs w:val="30"/>
        </w:rPr>
        <w:t>鉴于住宅装饰工程的特殊性，公共区域抽查比例不少于20%，户内抽查比例不少于10%，但户内抽查应包含所有户型。详细分项和评分标准见《工程复查实施细则——</w:t>
      </w:r>
      <w:r>
        <w:rPr>
          <w:rFonts w:hint="eastAsia" w:asciiTheme="minorEastAsia" w:hAnsiTheme="minorEastAsia" w:eastAsiaTheme="minorEastAsia" w:cstheme="minorEastAsia"/>
          <w:color w:val="auto"/>
          <w:spacing w:val="-11"/>
          <w:kern w:val="0"/>
          <w:sz w:val="30"/>
          <w:szCs w:val="30"/>
          <w:lang w:val="en-US" w:eastAsia="zh-CN"/>
        </w:rPr>
        <w:t>民用</w:t>
      </w:r>
      <w:r>
        <w:rPr>
          <w:rFonts w:hint="eastAsia" w:asciiTheme="minorEastAsia" w:hAnsiTheme="minorEastAsia" w:eastAsiaTheme="minorEastAsia" w:cstheme="minorEastAsia"/>
          <w:color w:val="auto"/>
          <w:spacing w:val="-11"/>
          <w:kern w:val="0"/>
          <w:sz w:val="30"/>
          <w:szCs w:val="30"/>
        </w:rPr>
        <w:t>建筑装饰类》。</w:t>
      </w:r>
    </w:p>
    <w:p w14:paraId="746D88AB">
      <w:pPr>
        <w:ind w:firstLine="576" w:firstLineChars="200"/>
        <w:rPr>
          <w:rFonts w:hint="eastAsia" w:asciiTheme="minorEastAsia" w:hAnsiTheme="minorEastAsia" w:eastAsiaTheme="minorEastAsia" w:cstheme="minorEastAsia"/>
          <w:spacing w:val="-6"/>
          <w:kern w:val="0"/>
          <w:sz w:val="30"/>
          <w:szCs w:val="30"/>
        </w:rPr>
      </w:pPr>
      <w:r>
        <w:rPr>
          <w:rFonts w:hint="eastAsia" w:asciiTheme="minorEastAsia" w:hAnsiTheme="minorEastAsia" w:eastAsiaTheme="minorEastAsia" w:cstheme="minorEastAsia"/>
          <w:spacing w:val="-6"/>
          <w:kern w:val="0"/>
          <w:sz w:val="30"/>
          <w:szCs w:val="30"/>
        </w:rPr>
        <w:t>《工程复查实施细则——</w:t>
      </w:r>
      <w:r>
        <w:rPr>
          <w:rFonts w:hint="eastAsia" w:asciiTheme="minorEastAsia" w:hAnsiTheme="minorEastAsia" w:eastAsiaTheme="minorEastAsia" w:cstheme="minorEastAsia"/>
          <w:spacing w:val="-6"/>
          <w:kern w:val="0"/>
          <w:sz w:val="30"/>
          <w:szCs w:val="30"/>
          <w:lang w:val="en-US" w:eastAsia="zh-CN"/>
        </w:rPr>
        <w:t>民用</w:t>
      </w:r>
      <w:r>
        <w:rPr>
          <w:rFonts w:hint="eastAsia" w:asciiTheme="minorEastAsia" w:hAnsiTheme="minorEastAsia" w:eastAsiaTheme="minorEastAsia" w:cstheme="minorEastAsia"/>
          <w:spacing w:val="-6"/>
          <w:kern w:val="0"/>
          <w:sz w:val="30"/>
          <w:szCs w:val="30"/>
        </w:rPr>
        <w:t>建筑装饰类》中所列均为工程复查的必查和主查内容，各复查小组可根据项目实际情况做必要的补充和调整，但必查内容不可取消。复查评分严格按照各项要求及分值进行复查评分，并</w:t>
      </w:r>
      <w:r>
        <w:rPr>
          <w:rFonts w:hint="eastAsia" w:asciiTheme="minorEastAsia" w:hAnsiTheme="minorEastAsia" w:eastAsiaTheme="minorEastAsia" w:cstheme="minorEastAsia"/>
          <w:spacing w:val="-6"/>
          <w:kern w:val="0"/>
          <w:sz w:val="30"/>
          <w:szCs w:val="30"/>
          <w:lang w:val="en-US" w:eastAsia="zh-CN"/>
        </w:rPr>
        <w:t>填写评分表</w:t>
      </w:r>
      <w:r>
        <w:rPr>
          <w:rFonts w:hint="eastAsia" w:asciiTheme="minorEastAsia" w:hAnsiTheme="minorEastAsia" w:eastAsiaTheme="minorEastAsia" w:cstheme="minorEastAsia"/>
          <w:spacing w:val="-6"/>
          <w:kern w:val="0"/>
          <w:sz w:val="30"/>
          <w:szCs w:val="30"/>
        </w:rPr>
        <w:t>。</w:t>
      </w:r>
    </w:p>
    <w:p w14:paraId="386187DE">
      <w:pPr>
        <w:ind w:firstLine="576" w:firstLineChars="200"/>
        <w:rPr>
          <w:rFonts w:hint="eastAsia" w:asciiTheme="minorEastAsia" w:hAnsiTheme="minorEastAsia" w:eastAsiaTheme="minorEastAsia" w:cstheme="minorEastAsia"/>
          <w:spacing w:val="-6"/>
          <w:kern w:val="0"/>
          <w:sz w:val="30"/>
          <w:szCs w:val="30"/>
        </w:rPr>
      </w:pPr>
      <w:r>
        <w:rPr>
          <w:rFonts w:hint="eastAsia" w:asciiTheme="minorEastAsia" w:hAnsiTheme="minorEastAsia" w:eastAsiaTheme="minorEastAsia" w:cstheme="minorEastAsia"/>
          <w:spacing w:val="-6"/>
          <w:kern w:val="0"/>
          <w:sz w:val="30"/>
          <w:szCs w:val="30"/>
        </w:rPr>
        <w:t>申报</w:t>
      </w:r>
      <w:r>
        <w:rPr>
          <w:rFonts w:hint="eastAsia" w:asciiTheme="minorEastAsia" w:hAnsiTheme="minorEastAsia" w:eastAsiaTheme="minorEastAsia" w:cstheme="minorEastAsia"/>
          <w:spacing w:val="-6"/>
          <w:kern w:val="0"/>
          <w:sz w:val="30"/>
          <w:szCs w:val="30"/>
          <w:lang w:eastAsia="zh-CN"/>
        </w:rPr>
        <w:t>河北省建筑装饰优质工程</w:t>
      </w:r>
      <w:r>
        <w:rPr>
          <w:rFonts w:hint="eastAsia" w:asciiTheme="minorEastAsia" w:hAnsiTheme="minorEastAsia" w:eastAsiaTheme="minorEastAsia" w:cstheme="minorEastAsia"/>
          <w:spacing w:val="-6"/>
          <w:kern w:val="0"/>
          <w:sz w:val="30"/>
          <w:szCs w:val="30"/>
        </w:rPr>
        <w:t>的单位需重视对工程安全隐患的排查及相关必要文件的准备，要求申报单位在申报前对如下方面进行自查，使其符合相应的国家强制性规范和标准以及复查要求：</w:t>
      </w:r>
    </w:p>
    <w:p w14:paraId="78D9D5A6">
      <w:pPr>
        <w:ind w:firstLine="576" w:firstLineChars="200"/>
        <w:rPr>
          <w:rFonts w:hint="eastAsia" w:asciiTheme="minorEastAsia" w:hAnsiTheme="minorEastAsia" w:eastAsiaTheme="minorEastAsia" w:cstheme="minorEastAsia"/>
          <w:spacing w:val="-6"/>
          <w:kern w:val="0"/>
          <w:sz w:val="30"/>
          <w:szCs w:val="30"/>
        </w:rPr>
      </w:pPr>
      <w:r>
        <w:rPr>
          <w:rFonts w:hint="eastAsia" w:asciiTheme="minorEastAsia" w:hAnsiTheme="minorEastAsia" w:eastAsiaTheme="minorEastAsia" w:cstheme="minorEastAsia"/>
          <w:spacing w:val="-6"/>
          <w:kern w:val="0"/>
          <w:sz w:val="30"/>
          <w:szCs w:val="30"/>
        </w:rPr>
        <w:t>重点部位及资料：</w:t>
      </w:r>
    </w:p>
    <w:p w14:paraId="0D3F5AAF">
      <w:pPr>
        <w:ind w:firstLine="576" w:firstLineChars="200"/>
        <w:rPr>
          <w:rFonts w:hint="eastAsia" w:asciiTheme="minorEastAsia" w:hAnsiTheme="minorEastAsia" w:eastAsiaTheme="minorEastAsia" w:cstheme="minorEastAsia"/>
          <w:spacing w:val="-6"/>
          <w:kern w:val="0"/>
          <w:sz w:val="30"/>
          <w:szCs w:val="30"/>
          <w:lang w:val="en-US" w:eastAsia="zh-CN"/>
        </w:rPr>
      </w:pPr>
      <w:r>
        <w:rPr>
          <w:rFonts w:hint="eastAsia" w:asciiTheme="minorEastAsia" w:hAnsiTheme="minorEastAsia" w:eastAsiaTheme="minorEastAsia" w:cstheme="minorEastAsia"/>
          <w:spacing w:val="-6"/>
          <w:kern w:val="0"/>
          <w:sz w:val="30"/>
          <w:szCs w:val="30"/>
          <w:lang w:eastAsia="zh-CN"/>
        </w:rPr>
        <w:t>（</w:t>
      </w:r>
      <w:r>
        <w:rPr>
          <w:rFonts w:hint="eastAsia" w:asciiTheme="minorEastAsia" w:hAnsiTheme="minorEastAsia" w:eastAsiaTheme="minorEastAsia" w:cstheme="minorEastAsia"/>
          <w:spacing w:val="-6"/>
          <w:kern w:val="0"/>
          <w:sz w:val="30"/>
          <w:szCs w:val="30"/>
          <w:lang w:val="en-US" w:eastAsia="zh-CN"/>
        </w:rPr>
        <w:t>一）公共建筑工程/展陈工程：</w:t>
      </w:r>
    </w:p>
    <w:p w14:paraId="0BCBE1EC">
      <w:pPr>
        <w:ind w:firstLine="576" w:firstLineChars="200"/>
        <w:rPr>
          <w:rFonts w:hint="eastAsia" w:asciiTheme="minorEastAsia" w:hAnsiTheme="minorEastAsia" w:eastAsiaTheme="minorEastAsia" w:cstheme="minorEastAsia"/>
          <w:spacing w:val="-6"/>
          <w:kern w:val="0"/>
          <w:sz w:val="30"/>
          <w:szCs w:val="30"/>
        </w:rPr>
      </w:pPr>
      <w:r>
        <w:rPr>
          <w:rFonts w:hint="eastAsia" w:asciiTheme="minorEastAsia" w:hAnsiTheme="minorEastAsia" w:eastAsiaTheme="minorEastAsia" w:cstheme="minorEastAsia"/>
          <w:spacing w:val="-6"/>
          <w:kern w:val="0"/>
          <w:sz w:val="30"/>
          <w:szCs w:val="30"/>
        </w:rPr>
        <w:t>1、改动建筑主体、承重结构、增加结构荷载；</w:t>
      </w:r>
    </w:p>
    <w:p w14:paraId="5CE3A685">
      <w:pPr>
        <w:ind w:firstLine="576" w:firstLineChars="200"/>
        <w:rPr>
          <w:rFonts w:hint="eastAsia" w:asciiTheme="minorEastAsia" w:hAnsiTheme="minorEastAsia" w:eastAsiaTheme="minorEastAsia" w:cstheme="minorEastAsia"/>
          <w:spacing w:val="-6"/>
          <w:kern w:val="0"/>
          <w:sz w:val="30"/>
          <w:szCs w:val="30"/>
        </w:rPr>
      </w:pPr>
      <w:r>
        <w:rPr>
          <w:rFonts w:hint="eastAsia" w:asciiTheme="minorEastAsia" w:hAnsiTheme="minorEastAsia" w:eastAsiaTheme="minorEastAsia" w:cstheme="minorEastAsia"/>
          <w:spacing w:val="-6"/>
          <w:kern w:val="0"/>
          <w:sz w:val="30"/>
          <w:szCs w:val="30"/>
        </w:rPr>
        <w:t xml:space="preserve">2、室内石材吊顶、过顶石材及其它重型吊顶； </w:t>
      </w:r>
    </w:p>
    <w:p w14:paraId="67C02922">
      <w:pPr>
        <w:ind w:firstLine="576" w:firstLineChars="200"/>
        <w:rPr>
          <w:rFonts w:hint="eastAsia" w:asciiTheme="minorEastAsia" w:hAnsiTheme="minorEastAsia" w:eastAsiaTheme="minorEastAsia" w:cstheme="minorEastAsia"/>
          <w:spacing w:val="-6"/>
          <w:kern w:val="0"/>
          <w:sz w:val="30"/>
          <w:szCs w:val="30"/>
        </w:rPr>
      </w:pPr>
      <w:r>
        <w:rPr>
          <w:rFonts w:hint="eastAsia" w:asciiTheme="minorEastAsia" w:hAnsiTheme="minorEastAsia" w:eastAsiaTheme="minorEastAsia" w:cstheme="minorEastAsia"/>
          <w:spacing w:val="-6"/>
          <w:kern w:val="0"/>
          <w:sz w:val="30"/>
          <w:szCs w:val="30"/>
        </w:rPr>
        <w:t>3</w:t>
      </w:r>
      <w:r>
        <w:rPr>
          <w:rFonts w:hint="eastAsia" w:asciiTheme="minorEastAsia" w:hAnsiTheme="minorEastAsia" w:eastAsiaTheme="minorEastAsia" w:cstheme="minorEastAsia"/>
          <w:kern w:val="0"/>
          <w:sz w:val="30"/>
          <w:szCs w:val="30"/>
        </w:rPr>
        <w:t>、钢结构转换层（如顶部有空间网架或钢屋架等）与网架、吊顶连接；</w:t>
      </w:r>
    </w:p>
    <w:p w14:paraId="052584FF">
      <w:pPr>
        <w:ind w:firstLine="576" w:firstLineChars="200"/>
        <w:rPr>
          <w:rFonts w:hint="eastAsia" w:asciiTheme="minorEastAsia" w:hAnsiTheme="minorEastAsia" w:eastAsiaTheme="minorEastAsia" w:cstheme="minorEastAsia"/>
          <w:spacing w:val="-6"/>
          <w:kern w:val="0"/>
          <w:sz w:val="30"/>
          <w:szCs w:val="30"/>
        </w:rPr>
      </w:pPr>
      <w:r>
        <w:rPr>
          <w:rFonts w:hint="eastAsia" w:asciiTheme="minorEastAsia" w:hAnsiTheme="minorEastAsia" w:eastAsiaTheme="minorEastAsia" w:cstheme="minorEastAsia"/>
          <w:spacing w:val="-6"/>
          <w:kern w:val="0"/>
          <w:sz w:val="30"/>
          <w:szCs w:val="30"/>
        </w:rPr>
        <w:t>4、大型吊灯、吊挂物（10kg及以上）安装的荷载试验和相关隐蔽资料、墙面背景灯、潮湿有水部位的灯具安装；</w:t>
      </w:r>
    </w:p>
    <w:p w14:paraId="733F88FE">
      <w:pPr>
        <w:ind w:firstLine="576" w:firstLineChars="200"/>
        <w:rPr>
          <w:rFonts w:hint="eastAsia" w:asciiTheme="minorEastAsia" w:hAnsiTheme="minorEastAsia" w:eastAsiaTheme="minorEastAsia" w:cstheme="minorEastAsia"/>
          <w:spacing w:val="-6"/>
          <w:kern w:val="0"/>
          <w:sz w:val="30"/>
          <w:szCs w:val="30"/>
        </w:rPr>
      </w:pPr>
      <w:r>
        <w:rPr>
          <w:rFonts w:hint="eastAsia" w:asciiTheme="minorEastAsia" w:hAnsiTheme="minorEastAsia" w:eastAsiaTheme="minorEastAsia" w:cstheme="minorEastAsia"/>
          <w:spacing w:val="-6"/>
          <w:kern w:val="0"/>
          <w:sz w:val="30"/>
          <w:szCs w:val="30"/>
        </w:rPr>
        <w:t>5、安全玻璃：屋面、吊顶、墙面、地面等玻璃制品；</w:t>
      </w:r>
    </w:p>
    <w:p w14:paraId="313322AE">
      <w:pPr>
        <w:ind w:firstLine="576" w:firstLineChars="200"/>
        <w:rPr>
          <w:rFonts w:hint="eastAsia" w:asciiTheme="minorEastAsia" w:hAnsiTheme="minorEastAsia" w:eastAsiaTheme="minorEastAsia" w:cstheme="minorEastAsia"/>
          <w:spacing w:val="-6"/>
          <w:kern w:val="0"/>
          <w:sz w:val="30"/>
          <w:szCs w:val="30"/>
        </w:rPr>
      </w:pPr>
      <w:r>
        <w:rPr>
          <w:rFonts w:hint="eastAsia" w:asciiTheme="minorEastAsia" w:hAnsiTheme="minorEastAsia" w:eastAsiaTheme="minorEastAsia" w:cstheme="minorEastAsia"/>
          <w:spacing w:val="-6"/>
          <w:kern w:val="0"/>
          <w:sz w:val="30"/>
          <w:szCs w:val="30"/>
        </w:rPr>
        <w:t>6、室内墙柱面石材、瓷砖或其它重型饰面材料干挂、挂贴；</w:t>
      </w:r>
    </w:p>
    <w:p w14:paraId="718EF3F4">
      <w:pPr>
        <w:ind w:firstLine="576" w:firstLineChars="200"/>
        <w:rPr>
          <w:rFonts w:hint="eastAsia" w:asciiTheme="minorEastAsia" w:hAnsiTheme="minorEastAsia" w:eastAsiaTheme="minorEastAsia" w:cstheme="minorEastAsia"/>
          <w:spacing w:val="-6"/>
          <w:kern w:val="0"/>
          <w:sz w:val="30"/>
          <w:szCs w:val="30"/>
        </w:rPr>
      </w:pPr>
      <w:r>
        <w:rPr>
          <w:rFonts w:hint="eastAsia" w:asciiTheme="minorEastAsia" w:hAnsiTheme="minorEastAsia" w:eastAsiaTheme="minorEastAsia" w:cstheme="minorEastAsia"/>
          <w:spacing w:val="-6"/>
          <w:kern w:val="0"/>
          <w:sz w:val="30"/>
          <w:szCs w:val="30"/>
        </w:rPr>
        <w:t>7、较大、较重的活动隔断安装；</w:t>
      </w:r>
    </w:p>
    <w:p w14:paraId="1E88E42D">
      <w:pPr>
        <w:ind w:firstLine="576" w:firstLineChars="200"/>
        <w:rPr>
          <w:rFonts w:hint="eastAsia" w:asciiTheme="minorEastAsia" w:hAnsiTheme="minorEastAsia" w:eastAsiaTheme="minorEastAsia" w:cstheme="minorEastAsia"/>
          <w:spacing w:val="-6"/>
          <w:kern w:val="0"/>
          <w:sz w:val="30"/>
          <w:szCs w:val="30"/>
        </w:rPr>
      </w:pPr>
      <w:r>
        <w:rPr>
          <w:rFonts w:hint="eastAsia" w:asciiTheme="minorEastAsia" w:hAnsiTheme="minorEastAsia" w:eastAsiaTheme="minorEastAsia" w:cstheme="minorEastAsia"/>
          <w:spacing w:val="-6"/>
          <w:kern w:val="0"/>
          <w:sz w:val="30"/>
          <w:szCs w:val="30"/>
        </w:rPr>
        <w:t>8、楼梯扶手及栏杆、栏板；</w:t>
      </w:r>
    </w:p>
    <w:p w14:paraId="127B5E91">
      <w:pPr>
        <w:ind w:firstLine="576" w:firstLineChars="200"/>
        <w:rPr>
          <w:rFonts w:hint="eastAsia" w:asciiTheme="minorEastAsia" w:hAnsiTheme="minorEastAsia" w:eastAsiaTheme="minorEastAsia" w:cstheme="minorEastAsia"/>
          <w:spacing w:val="-6"/>
          <w:kern w:val="0"/>
          <w:sz w:val="30"/>
          <w:szCs w:val="30"/>
        </w:rPr>
      </w:pPr>
      <w:r>
        <w:rPr>
          <w:rFonts w:hint="eastAsia" w:asciiTheme="minorEastAsia" w:hAnsiTheme="minorEastAsia" w:eastAsiaTheme="minorEastAsia" w:cstheme="minorEastAsia"/>
          <w:spacing w:val="-6"/>
          <w:kern w:val="0"/>
          <w:sz w:val="30"/>
          <w:szCs w:val="30"/>
        </w:rPr>
        <w:t>9、变形缝及其构造；</w:t>
      </w:r>
    </w:p>
    <w:p w14:paraId="04197548">
      <w:pPr>
        <w:ind w:firstLine="576" w:firstLineChars="200"/>
        <w:rPr>
          <w:rFonts w:hint="eastAsia" w:asciiTheme="minorEastAsia" w:hAnsiTheme="minorEastAsia" w:eastAsiaTheme="minorEastAsia" w:cstheme="minorEastAsia"/>
          <w:spacing w:val="-6"/>
          <w:kern w:val="0"/>
          <w:sz w:val="30"/>
          <w:szCs w:val="30"/>
        </w:rPr>
      </w:pPr>
      <w:r>
        <w:rPr>
          <w:rFonts w:hint="eastAsia" w:asciiTheme="minorEastAsia" w:hAnsiTheme="minorEastAsia" w:eastAsiaTheme="minorEastAsia" w:cstheme="minorEastAsia"/>
          <w:spacing w:val="-6"/>
          <w:kern w:val="0"/>
          <w:sz w:val="30"/>
          <w:szCs w:val="30"/>
        </w:rPr>
        <w:t>10、顶棚、墙面、地面等部位的装饰材料是否符合防火要求；</w:t>
      </w:r>
    </w:p>
    <w:p w14:paraId="48A56325">
      <w:pPr>
        <w:ind w:firstLine="576" w:firstLineChars="200"/>
        <w:rPr>
          <w:rFonts w:hint="eastAsia" w:asciiTheme="minorEastAsia" w:hAnsiTheme="minorEastAsia" w:eastAsiaTheme="minorEastAsia" w:cstheme="minorEastAsia"/>
          <w:spacing w:val="-6"/>
          <w:kern w:val="0"/>
          <w:sz w:val="30"/>
          <w:szCs w:val="30"/>
        </w:rPr>
      </w:pPr>
      <w:r>
        <w:rPr>
          <w:rFonts w:hint="eastAsia" w:asciiTheme="minorEastAsia" w:hAnsiTheme="minorEastAsia" w:eastAsiaTheme="minorEastAsia" w:cstheme="minorEastAsia"/>
          <w:spacing w:val="-6"/>
          <w:kern w:val="0"/>
          <w:sz w:val="30"/>
          <w:szCs w:val="30"/>
        </w:rPr>
        <w:t>11、开关、插座的接线及防火隔热措施；天花吊顶内的接线。</w:t>
      </w:r>
    </w:p>
    <w:p w14:paraId="2DB85DAC">
      <w:pPr>
        <w:ind w:firstLine="576" w:firstLineChars="200"/>
        <w:rPr>
          <w:rFonts w:hint="eastAsia" w:asciiTheme="minorEastAsia" w:hAnsiTheme="minorEastAsia" w:eastAsiaTheme="minorEastAsia" w:cstheme="minorEastAsia"/>
          <w:spacing w:val="-6"/>
          <w:kern w:val="0"/>
          <w:sz w:val="30"/>
          <w:szCs w:val="30"/>
        </w:rPr>
      </w:pPr>
      <w:r>
        <w:rPr>
          <w:rFonts w:hint="eastAsia" w:asciiTheme="minorEastAsia" w:hAnsiTheme="minorEastAsia" w:eastAsiaTheme="minorEastAsia" w:cstheme="minorEastAsia"/>
          <w:spacing w:val="-6"/>
          <w:kern w:val="0"/>
          <w:sz w:val="30"/>
          <w:szCs w:val="30"/>
        </w:rPr>
        <w:t>12、展台展柜展板的制作安装；</w:t>
      </w:r>
    </w:p>
    <w:p w14:paraId="7E4B56F2">
      <w:pPr>
        <w:ind w:firstLine="576" w:firstLineChars="200"/>
        <w:rPr>
          <w:rFonts w:hint="eastAsia" w:asciiTheme="minorEastAsia" w:hAnsiTheme="minorEastAsia" w:eastAsiaTheme="minorEastAsia" w:cstheme="minorEastAsia"/>
          <w:spacing w:val="-6"/>
          <w:kern w:val="0"/>
          <w:sz w:val="30"/>
          <w:szCs w:val="30"/>
        </w:rPr>
      </w:pPr>
      <w:r>
        <w:rPr>
          <w:rFonts w:hint="eastAsia" w:asciiTheme="minorEastAsia" w:hAnsiTheme="minorEastAsia" w:eastAsiaTheme="minorEastAsia" w:cstheme="minorEastAsia"/>
          <w:spacing w:val="-6"/>
          <w:kern w:val="0"/>
          <w:sz w:val="30"/>
          <w:szCs w:val="30"/>
        </w:rPr>
        <w:t>13、展品展项、导览导视系统；</w:t>
      </w:r>
    </w:p>
    <w:p w14:paraId="3C601ACF">
      <w:pPr>
        <w:ind w:firstLine="576" w:firstLineChars="200"/>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spacing w:val="-6"/>
          <w:kern w:val="0"/>
          <w:sz w:val="30"/>
          <w:szCs w:val="30"/>
        </w:rPr>
        <w:t>1</w:t>
      </w:r>
      <w:r>
        <w:rPr>
          <w:rFonts w:hint="eastAsia" w:asciiTheme="minorEastAsia" w:hAnsiTheme="minorEastAsia" w:eastAsiaTheme="minorEastAsia" w:cstheme="minorEastAsia"/>
          <w:spacing w:val="-6"/>
          <w:kern w:val="0"/>
          <w:sz w:val="30"/>
          <w:szCs w:val="30"/>
          <w:lang w:val="en-US" w:eastAsia="zh-CN"/>
        </w:rPr>
        <w:t>4</w:t>
      </w:r>
      <w:r>
        <w:rPr>
          <w:rFonts w:hint="eastAsia" w:asciiTheme="minorEastAsia" w:hAnsiTheme="minorEastAsia" w:eastAsiaTheme="minorEastAsia" w:cstheme="minorEastAsia"/>
          <w:spacing w:val="-6"/>
          <w:kern w:val="0"/>
          <w:sz w:val="30"/>
          <w:szCs w:val="30"/>
        </w:rPr>
        <w:t>、申报项目必要资料是</w:t>
      </w:r>
      <w:r>
        <w:rPr>
          <w:rFonts w:hint="eastAsia" w:asciiTheme="minorEastAsia" w:hAnsiTheme="minorEastAsia" w:eastAsiaTheme="minorEastAsia" w:cstheme="minorEastAsia"/>
          <w:kern w:val="0"/>
          <w:sz w:val="30"/>
          <w:szCs w:val="30"/>
        </w:rPr>
        <w:t>否真实及齐全，特别是开竣工日期、施工许可证、消防验收、各种材料复试报告、各项实验报告（蓄水、螺栓拉拔、灯具过载等实验，干挂墙面超12米的计算文件）、室内环境污染物检测报告；竣工图纸签字盖章是否齐全、重点节点图是否齐全。</w:t>
      </w:r>
    </w:p>
    <w:p w14:paraId="583696BC">
      <w:pPr>
        <w:pStyle w:val="2"/>
        <w:ind w:firstLine="640"/>
        <w:rPr>
          <w:rFonts w:hint="eastAsia" w:asciiTheme="minorEastAsia" w:hAnsiTheme="minorEastAsia" w:eastAsiaTheme="minorEastAsia" w:cstheme="minorEastAsia"/>
          <w:kern w:val="0"/>
          <w:sz w:val="30"/>
          <w:szCs w:val="30"/>
          <w:lang w:val="en-US" w:eastAsia="zh-CN"/>
        </w:rPr>
      </w:pPr>
      <w:r>
        <w:rPr>
          <w:rFonts w:hint="eastAsia" w:asciiTheme="minorEastAsia" w:hAnsiTheme="minorEastAsia" w:eastAsiaTheme="minorEastAsia" w:cstheme="minorEastAsia"/>
          <w:kern w:val="0"/>
          <w:sz w:val="30"/>
          <w:szCs w:val="30"/>
          <w:lang w:val="en-US" w:eastAsia="zh-CN"/>
        </w:rPr>
        <w:t>（二）住宅</w:t>
      </w:r>
      <w:r>
        <w:rPr>
          <w:rFonts w:hint="eastAsia" w:asciiTheme="minorEastAsia" w:hAnsiTheme="minorEastAsia" w:eastAsiaTheme="minorEastAsia" w:cstheme="minorEastAsia"/>
          <w:color w:val="auto"/>
          <w:kern w:val="0"/>
          <w:sz w:val="30"/>
          <w:szCs w:val="30"/>
          <w:lang w:val="en-US" w:eastAsia="zh-CN"/>
        </w:rPr>
        <w:t>工程：</w:t>
      </w:r>
    </w:p>
    <w:p w14:paraId="1944BE46">
      <w:pPr>
        <w:ind w:firstLine="600" w:firstLineChars="200"/>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lang w:val="en-US" w:eastAsia="zh-CN"/>
        </w:rPr>
        <w:t>1、</w:t>
      </w:r>
      <w:r>
        <w:rPr>
          <w:rFonts w:hint="eastAsia" w:asciiTheme="minorEastAsia" w:hAnsiTheme="minorEastAsia" w:eastAsiaTheme="minorEastAsia" w:cstheme="minorEastAsia"/>
          <w:kern w:val="0"/>
          <w:sz w:val="30"/>
          <w:szCs w:val="30"/>
        </w:rPr>
        <w:t>改动或破坏承重结构、受力钢筋；</w:t>
      </w:r>
    </w:p>
    <w:p w14:paraId="63438D90">
      <w:pPr>
        <w:ind w:firstLine="600" w:firstLineChars="200"/>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lang w:val="en-US" w:eastAsia="zh-CN"/>
        </w:rPr>
        <w:t>2、</w:t>
      </w:r>
      <w:r>
        <w:rPr>
          <w:rFonts w:hint="eastAsia" w:asciiTheme="minorEastAsia" w:hAnsiTheme="minorEastAsia" w:eastAsiaTheme="minorEastAsia" w:cstheme="minorEastAsia"/>
          <w:kern w:val="0"/>
          <w:sz w:val="30"/>
          <w:szCs w:val="30"/>
        </w:rPr>
        <w:t>窗台高度；</w:t>
      </w:r>
    </w:p>
    <w:p w14:paraId="099659E9">
      <w:pPr>
        <w:ind w:firstLine="600" w:firstLineChars="200"/>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lang w:val="en-US" w:eastAsia="zh-CN"/>
        </w:rPr>
        <w:t>3、</w:t>
      </w:r>
      <w:r>
        <w:rPr>
          <w:rFonts w:hint="eastAsia" w:asciiTheme="minorEastAsia" w:hAnsiTheme="minorEastAsia" w:eastAsiaTheme="minorEastAsia" w:cstheme="minorEastAsia"/>
          <w:kern w:val="0"/>
          <w:sz w:val="30"/>
          <w:szCs w:val="30"/>
        </w:rPr>
        <w:t>阳台、楼梯、走道防护栏杆高度、构造、竖向杆件间距、玻璃品种及规格；</w:t>
      </w:r>
    </w:p>
    <w:p w14:paraId="5B14EBCE">
      <w:pPr>
        <w:ind w:firstLine="600" w:firstLineChars="200"/>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lang w:val="en-US" w:eastAsia="zh-CN"/>
        </w:rPr>
        <w:t>4、</w:t>
      </w:r>
      <w:r>
        <w:rPr>
          <w:rFonts w:hint="eastAsia" w:asciiTheme="minorEastAsia" w:hAnsiTheme="minorEastAsia" w:eastAsiaTheme="minorEastAsia" w:cstheme="minorEastAsia"/>
          <w:kern w:val="0"/>
          <w:sz w:val="30"/>
          <w:szCs w:val="30"/>
        </w:rPr>
        <w:t>配电箱及开关插座的性能、电气线路接线、卫生间等电位联接、大型吊灯的荷载试验；</w:t>
      </w:r>
    </w:p>
    <w:p w14:paraId="74E7A5D8">
      <w:pPr>
        <w:ind w:firstLine="600" w:firstLineChars="200"/>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lang w:val="en-US" w:eastAsia="zh-CN"/>
        </w:rPr>
        <w:t>5、</w:t>
      </w:r>
      <w:r>
        <w:rPr>
          <w:rFonts w:hint="eastAsia" w:asciiTheme="minorEastAsia" w:hAnsiTheme="minorEastAsia" w:eastAsiaTheme="minorEastAsia" w:cstheme="minorEastAsia"/>
          <w:kern w:val="0"/>
          <w:sz w:val="30"/>
          <w:szCs w:val="30"/>
        </w:rPr>
        <w:t>消火栓暗门启闭灵便、开启方向正确、标识明显；</w:t>
      </w:r>
    </w:p>
    <w:p w14:paraId="4C2A070A">
      <w:pPr>
        <w:ind w:firstLine="600" w:firstLineChars="200"/>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lang w:val="en-US" w:eastAsia="zh-CN"/>
        </w:rPr>
        <w:t>6、</w:t>
      </w:r>
      <w:r>
        <w:rPr>
          <w:rFonts w:hint="eastAsia" w:asciiTheme="minorEastAsia" w:hAnsiTheme="minorEastAsia" w:eastAsiaTheme="minorEastAsia" w:cstheme="minorEastAsia"/>
          <w:kern w:val="0"/>
          <w:sz w:val="30"/>
          <w:szCs w:val="30"/>
        </w:rPr>
        <w:t>厨房、消防楼梯间及前室、水平疏散通道装修材料的燃烧性能等级；</w:t>
      </w:r>
    </w:p>
    <w:p w14:paraId="26DA7237">
      <w:pPr>
        <w:ind w:firstLine="600" w:firstLineChars="200"/>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lang w:val="en-US" w:eastAsia="zh-CN"/>
        </w:rPr>
        <w:t>7、</w:t>
      </w:r>
      <w:r>
        <w:rPr>
          <w:rFonts w:hint="eastAsia" w:asciiTheme="minorEastAsia" w:hAnsiTheme="minorEastAsia" w:eastAsiaTheme="minorEastAsia" w:cstheme="minorEastAsia"/>
          <w:kern w:val="0"/>
          <w:sz w:val="30"/>
          <w:szCs w:val="30"/>
        </w:rPr>
        <w:t>墙面干挂石材、瓷砖的构造，墙地面瓷砖空鼓及平整度；</w:t>
      </w:r>
    </w:p>
    <w:p w14:paraId="204309FD">
      <w:pPr>
        <w:ind w:firstLine="600" w:firstLineChars="200"/>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lang w:val="en-US" w:eastAsia="zh-CN"/>
        </w:rPr>
        <w:t>8、</w:t>
      </w:r>
      <w:r>
        <w:rPr>
          <w:rFonts w:hint="eastAsia" w:asciiTheme="minorEastAsia" w:hAnsiTheme="minorEastAsia" w:eastAsiaTheme="minorEastAsia" w:cstheme="minorEastAsia"/>
          <w:kern w:val="0"/>
          <w:sz w:val="30"/>
          <w:szCs w:val="30"/>
        </w:rPr>
        <w:t>卫生间、厨房、阳台防水性能以及与相邻室内地面的高差，无障碍措施，室内异味；</w:t>
      </w:r>
    </w:p>
    <w:p w14:paraId="7BBDE34F">
      <w:pPr>
        <w:ind w:firstLine="600" w:firstLineChars="200"/>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lang w:val="en-US" w:eastAsia="zh-CN"/>
        </w:rPr>
        <w:t>9、</w:t>
      </w:r>
      <w:r>
        <w:rPr>
          <w:rFonts w:hint="eastAsia" w:asciiTheme="minorEastAsia" w:hAnsiTheme="minorEastAsia" w:eastAsiaTheme="minorEastAsia" w:cstheme="minorEastAsia"/>
          <w:kern w:val="0"/>
          <w:sz w:val="30"/>
          <w:szCs w:val="30"/>
        </w:rPr>
        <w:t>淋浴玻璃隔断的构造、玻璃品种及规格；</w:t>
      </w:r>
    </w:p>
    <w:p w14:paraId="367653B7">
      <w:pPr>
        <w:ind w:firstLine="600" w:firstLineChars="200"/>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lang w:val="en-US" w:eastAsia="zh-CN"/>
        </w:rPr>
        <w:t>10、</w:t>
      </w:r>
      <w:r>
        <w:rPr>
          <w:rFonts w:hint="eastAsia" w:asciiTheme="minorEastAsia" w:hAnsiTheme="minorEastAsia" w:eastAsiaTheme="minorEastAsia" w:cstheme="minorEastAsia"/>
          <w:kern w:val="0"/>
          <w:sz w:val="30"/>
          <w:szCs w:val="30"/>
        </w:rPr>
        <w:t>厨房、卫生间、敞开式阳台、连廊、架空层地面材料的防滑性能；</w:t>
      </w:r>
    </w:p>
    <w:p w14:paraId="17DE8D96">
      <w:pPr>
        <w:ind w:firstLine="600" w:firstLineChars="200"/>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lang w:val="en-US" w:eastAsia="zh-CN"/>
        </w:rPr>
        <w:t>11、</w:t>
      </w:r>
      <w:r>
        <w:rPr>
          <w:rFonts w:hint="eastAsia" w:asciiTheme="minorEastAsia" w:hAnsiTheme="minorEastAsia" w:eastAsiaTheme="minorEastAsia" w:cstheme="minorEastAsia"/>
          <w:kern w:val="0"/>
          <w:sz w:val="30"/>
          <w:szCs w:val="30"/>
        </w:rPr>
        <w:t>改动或破坏燃气管道、共用竖向烟道；</w:t>
      </w:r>
    </w:p>
    <w:p w14:paraId="0A6049CA">
      <w:pPr>
        <w:ind w:firstLine="600" w:firstLineChars="200"/>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lang w:val="en-US" w:eastAsia="zh-CN"/>
        </w:rPr>
        <w:t>12、</w:t>
      </w:r>
      <w:r>
        <w:rPr>
          <w:rFonts w:hint="eastAsia" w:asciiTheme="minorEastAsia" w:hAnsiTheme="minorEastAsia" w:eastAsiaTheme="minorEastAsia" w:cstheme="minorEastAsia"/>
          <w:kern w:val="0"/>
          <w:sz w:val="30"/>
          <w:szCs w:val="30"/>
        </w:rPr>
        <w:t>室内环境质量。</w:t>
      </w:r>
    </w:p>
    <w:p w14:paraId="40100985">
      <w:pPr>
        <w:adjustRightInd w:val="0"/>
        <w:snapToGrid w:val="0"/>
        <w:spacing w:line="360" w:lineRule="auto"/>
        <w:ind w:firstLine="600" w:firstLineChars="200"/>
        <w:rPr>
          <w:rFonts w:hint="eastAsia" w:asciiTheme="minorEastAsia" w:hAnsiTheme="minorEastAsia" w:eastAsiaTheme="minorEastAsia" w:cstheme="minorEastAsia"/>
          <w:sz w:val="30"/>
          <w:szCs w:val="30"/>
          <w:lang w:val="en-US" w:eastAsia="zh-CN"/>
        </w:rPr>
      </w:pPr>
      <w:bookmarkStart w:id="0" w:name="OLE_LINK1"/>
      <w:r>
        <w:rPr>
          <w:rFonts w:hint="eastAsia" w:asciiTheme="minorEastAsia" w:hAnsiTheme="minorEastAsia" w:eastAsiaTheme="minorEastAsia" w:cstheme="minorEastAsia"/>
          <w:kern w:val="0"/>
          <w:sz w:val="30"/>
          <w:szCs w:val="30"/>
          <w:lang w:val="en-US" w:eastAsia="zh-CN"/>
        </w:rPr>
        <w:t>13、</w:t>
      </w:r>
      <w:r>
        <w:rPr>
          <w:rFonts w:hint="eastAsia" w:asciiTheme="minorEastAsia" w:hAnsiTheme="minorEastAsia" w:eastAsiaTheme="minorEastAsia" w:cstheme="minorEastAsia"/>
          <w:kern w:val="0"/>
          <w:sz w:val="30"/>
          <w:szCs w:val="30"/>
        </w:rPr>
        <w:t>申报单位的营业执照、施工资质证书、安全生产许可证，工程承包合同，项目经理注册建造师证书、安全生产考核合格证书，工程施工许可证、竣工验收合格证明文件、消防验收合格或备案的文件、室内环境质量检测报告等必要文件应真实齐全并符合申报要求。</w:t>
      </w:r>
      <w:bookmarkEnd w:id="0"/>
    </w:p>
    <w:p w14:paraId="1CFCDBD2">
      <w:pPr>
        <w:ind w:firstLine="576" w:firstLineChars="200"/>
        <w:rPr>
          <w:rFonts w:hint="eastAsia" w:asciiTheme="minorEastAsia" w:hAnsiTheme="minorEastAsia" w:eastAsiaTheme="minorEastAsia" w:cstheme="minorEastAsia"/>
          <w:spacing w:val="-6"/>
          <w:kern w:val="0"/>
          <w:sz w:val="30"/>
          <w:szCs w:val="30"/>
        </w:rPr>
      </w:pPr>
      <w:r>
        <w:rPr>
          <w:rFonts w:hint="eastAsia" w:asciiTheme="minorEastAsia" w:hAnsiTheme="minorEastAsia" w:eastAsiaTheme="minorEastAsia" w:cstheme="minorEastAsia"/>
          <w:spacing w:val="-6"/>
          <w:kern w:val="0"/>
          <w:sz w:val="30"/>
          <w:szCs w:val="30"/>
        </w:rPr>
        <w:t>二、主要执行规范和标准：</w:t>
      </w:r>
    </w:p>
    <w:p w14:paraId="0D640C0E">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1.《建筑给水排水设计标准》GB50015-2019</w:t>
      </w:r>
    </w:p>
    <w:p w14:paraId="107475D9">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2.《建筑设计防火规范》GB50016-2014</w:t>
      </w:r>
    </w:p>
    <w:p w14:paraId="0DD7A2E3">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3.《建筑照明设计标准》GB50034-2013</w:t>
      </w:r>
    </w:p>
    <w:p w14:paraId="6BE1D68A">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4.《住宅设计规范》GB50096-2011</w:t>
      </w:r>
    </w:p>
    <w:p w14:paraId="4A78ED1D">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5.《中小学校设计规范》GB50099-2011</w:t>
      </w:r>
    </w:p>
    <w:p w14:paraId="0985FA95">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6.《民用建筑隔声设计规范》GB50118-2010</w:t>
      </w:r>
    </w:p>
    <w:p w14:paraId="70154BE7">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7.《数据中心设计规范》GB50174-2017</w:t>
      </w:r>
    </w:p>
    <w:p w14:paraId="5F4D6D22">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8.《建筑内部装修设计防火规范》GB50222-2017</w:t>
      </w:r>
    </w:p>
    <w:p w14:paraId="08F2DD27">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9.《民用建筑设计统一标准》GB50352-2019</w:t>
      </w:r>
    </w:p>
    <w:p w14:paraId="65422585">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10.《无障碍设计规范》GB50763-2012</w:t>
      </w:r>
    </w:p>
    <w:p w14:paraId="1F430E0C">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11.《综合医院建筑设计规范》GB51039-2014</w:t>
      </w:r>
    </w:p>
    <w:p w14:paraId="2D574EEA">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12.《地铁设计防火标准》GB51298-2018</w:t>
      </w:r>
    </w:p>
    <w:p w14:paraId="6ECA03D6">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13．《民用建筑电气设计标准》GB51348-2019</w:t>
      </w:r>
    </w:p>
    <w:p w14:paraId="6E5EE64E">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14.《建筑地面工程施工质量验收规范》GB50209-2010</w:t>
      </w:r>
    </w:p>
    <w:p w14:paraId="4888C49F">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15.《建筑装饰装修工程质量验收标准》GB50210-2018</w:t>
      </w:r>
    </w:p>
    <w:p w14:paraId="28040944">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16.《建筑给水排水及采暖工程施工质量验收规范》GB50242-2002</w:t>
      </w:r>
    </w:p>
    <w:p w14:paraId="20A44C4A">
      <w:pPr>
        <w:adjustRightInd w:val="0"/>
        <w:snapToGrid w:val="0"/>
        <w:spacing w:line="360" w:lineRule="auto"/>
        <w:ind w:firstLine="600" w:firstLineChars="200"/>
        <w:outlineLvl w:val="2"/>
        <w:rPr>
          <w:rFonts w:hint="eastAsia" w:asciiTheme="minorEastAsia" w:hAnsiTheme="minorEastAsia" w:eastAsiaTheme="minorEastAsia" w:cstheme="minorEastAsia"/>
          <w:color w:val="auto"/>
          <w:sz w:val="30"/>
          <w:szCs w:val="30"/>
        </w:rPr>
      </w:pPr>
      <w:bookmarkStart w:id="1" w:name="_Toc1703"/>
      <w:r>
        <w:rPr>
          <w:rFonts w:hint="eastAsia" w:asciiTheme="minorEastAsia" w:hAnsiTheme="minorEastAsia" w:eastAsiaTheme="minorEastAsia" w:cstheme="minorEastAsia"/>
          <w:color w:val="auto"/>
          <w:sz w:val="30"/>
          <w:szCs w:val="30"/>
        </w:rPr>
        <w:t>17.《通风与空调工程施工质量验收规范》GB50243-</w:t>
      </w:r>
      <w:r>
        <w:rPr>
          <w:rFonts w:hint="eastAsia" w:asciiTheme="minorEastAsia" w:hAnsiTheme="minorEastAsia" w:eastAsiaTheme="minorEastAsia" w:cstheme="minorEastAsia"/>
          <w:color w:val="auto"/>
          <w:sz w:val="30"/>
          <w:szCs w:val="30"/>
          <w:lang w:val="en-US" w:eastAsia="zh-CN"/>
        </w:rPr>
        <w:t>20</w:t>
      </w:r>
      <w:r>
        <w:rPr>
          <w:rFonts w:hint="eastAsia" w:asciiTheme="minorEastAsia" w:hAnsiTheme="minorEastAsia" w:eastAsiaTheme="minorEastAsia" w:cstheme="minorEastAsia"/>
          <w:color w:val="auto"/>
          <w:sz w:val="30"/>
          <w:szCs w:val="30"/>
        </w:rPr>
        <w:t>16</w:t>
      </w:r>
      <w:bookmarkEnd w:id="1"/>
    </w:p>
    <w:p w14:paraId="6B332FB5">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18.《建筑工程施工质量验收统一标准》GB50300-2013</w:t>
      </w:r>
    </w:p>
    <w:p w14:paraId="133B15E3">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19.《建筑电气工程施工质量验收规范》GB50303-2015</w:t>
      </w:r>
    </w:p>
    <w:p w14:paraId="0A2EFCEF">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20.《民用建筑工程室内环境污染控制标准》GB50325-2020</w:t>
      </w:r>
    </w:p>
    <w:p w14:paraId="416D7C78">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21.《建设工程文件归档规范》GB/T50328-2014(2019版)</w:t>
      </w:r>
    </w:p>
    <w:p w14:paraId="3E7FC968">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22.《建筑内部装修防火施工及验收规范》GB50354-2005</w:t>
      </w:r>
    </w:p>
    <w:p w14:paraId="05BA0501">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23.《建筑节能工程施工质量验收标准》GB50411-2019</w:t>
      </w:r>
    </w:p>
    <w:p w14:paraId="429186E7">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bookmarkStart w:id="2" w:name="_Hlk97105656"/>
      <w:r>
        <w:rPr>
          <w:rFonts w:hint="eastAsia" w:asciiTheme="minorEastAsia" w:hAnsiTheme="minorEastAsia" w:eastAsiaTheme="minorEastAsia" w:cstheme="minorEastAsia"/>
          <w:color w:val="auto"/>
          <w:sz w:val="30"/>
          <w:szCs w:val="30"/>
        </w:rPr>
        <w:t>24.《建筑电气照明装置施工与验收规范》GB50617-2010</w:t>
      </w:r>
    </w:p>
    <w:p w14:paraId="7E9B397A">
      <w:pPr>
        <w:adjustRightInd w:val="0"/>
        <w:snapToGrid w:val="0"/>
        <w:spacing w:line="360" w:lineRule="auto"/>
        <w:ind w:firstLine="600" w:firstLineChars="200"/>
        <w:outlineLvl w:val="2"/>
        <w:rPr>
          <w:rFonts w:hint="eastAsia" w:asciiTheme="minorEastAsia" w:hAnsiTheme="minorEastAsia" w:eastAsiaTheme="minorEastAsia" w:cstheme="minorEastAsia"/>
          <w:color w:val="auto"/>
          <w:sz w:val="30"/>
          <w:szCs w:val="30"/>
        </w:rPr>
      </w:pPr>
      <w:bookmarkStart w:id="3" w:name="_Toc23118"/>
      <w:r>
        <w:rPr>
          <w:rFonts w:hint="eastAsia" w:asciiTheme="minorEastAsia" w:hAnsiTheme="minorEastAsia" w:eastAsiaTheme="minorEastAsia" w:cstheme="minorEastAsia"/>
          <w:color w:val="auto"/>
          <w:sz w:val="30"/>
          <w:szCs w:val="30"/>
        </w:rPr>
        <w:t>25.《网络工程验收标准》GB/T51365-2019</w:t>
      </w:r>
      <w:bookmarkEnd w:id="3"/>
    </w:p>
    <w:p w14:paraId="02440906">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26.《建筑防火封堵应用技术标准》GB/T51410—2020</w:t>
      </w:r>
    </w:p>
    <w:p w14:paraId="3DA99EF7">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27.《木结构通用规范》GB55005-2021（2022年1月1日起实施）</w:t>
      </w:r>
    </w:p>
    <w:p w14:paraId="40F49091">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28.《砌体结构通用规范》GB55007-2021（2022年1月1日起实施）</w:t>
      </w:r>
    </w:p>
    <w:p w14:paraId="32D27907">
      <w:pPr>
        <w:adjustRightInd w:val="0"/>
        <w:snapToGrid w:val="0"/>
        <w:spacing w:line="360" w:lineRule="auto"/>
        <w:ind w:firstLine="600" w:firstLineChars="200"/>
        <w:rPr>
          <w:rFonts w:hint="eastAsia" w:asciiTheme="minorEastAsia" w:hAnsiTheme="minorEastAsia" w:eastAsiaTheme="minorEastAsia" w:cstheme="minorEastAsia"/>
          <w:color w:val="auto"/>
          <w:spacing w:val="-6"/>
          <w:sz w:val="30"/>
          <w:szCs w:val="30"/>
        </w:rPr>
      </w:pPr>
      <w:r>
        <w:rPr>
          <w:rFonts w:hint="eastAsia" w:asciiTheme="minorEastAsia" w:hAnsiTheme="minorEastAsia" w:eastAsiaTheme="minorEastAsia" w:cstheme="minorEastAsia"/>
          <w:color w:val="auto"/>
          <w:sz w:val="30"/>
          <w:szCs w:val="30"/>
        </w:rPr>
        <w:t>29.《建筑节能与可再生能源利用通用规</w:t>
      </w:r>
      <w:r>
        <w:rPr>
          <w:rFonts w:hint="eastAsia" w:asciiTheme="minorEastAsia" w:hAnsiTheme="minorEastAsia" w:eastAsiaTheme="minorEastAsia" w:cstheme="minorEastAsia"/>
          <w:color w:val="auto"/>
          <w:spacing w:val="-6"/>
          <w:sz w:val="30"/>
          <w:szCs w:val="30"/>
        </w:rPr>
        <w:t>范》GB55015-2021（2022年4月1日起实施）</w:t>
      </w:r>
    </w:p>
    <w:p w14:paraId="535C6724">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30.《建筑环境通用规范》GB55016-2021</w:t>
      </w:r>
      <w:bookmarkStart w:id="4" w:name="_Hlk97105828"/>
      <w:r>
        <w:rPr>
          <w:rFonts w:hint="eastAsia" w:asciiTheme="minorEastAsia" w:hAnsiTheme="minorEastAsia" w:eastAsiaTheme="minorEastAsia" w:cstheme="minorEastAsia"/>
          <w:color w:val="auto"/>
          <w:sz w:val="30"/>
          <w:szCs w:val="30"/>
        </w:rPr>
        <w:t>（2022年4月1日起实施）</w:t>
      </w:r>
      <w:bookmarkEnd w:id="4"/>
    </w:p>
    <w:p w14:paraId="35C4AA98">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31.《建筑给水排水与节水通用规范》GB55020-2021（2022年4月1日起实施）</w:t>
      </w:r>
    </w:p>
    <w:bookmarkEnd w:id="2"/>
    <w:p w14:paraId="249D5602">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32.《消火栓箱》GB/T14561-2019</w:t>
      </w:r>
    </w:p>
    <w:p w14:paraId="0AB6A254">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33.《饰面石材用胶粘剂》</w:t>
      </w:r>
      <w:bookmarkStart w:id="5" w:name="_Hlk97113193"/>
      <w:r>
        <w:rPr>
          <w:rFonts w:hint="eastAsia" w:asciiTheme="minorEastAsia" w:hAnsiTheme="minorEastAsia" w:eastAsiaTheme="minorEastAsia" w:cstheme="minorEastAsia"/>
          <w:color w:val="auto"/>
          <w:sz w:val="30"/>
          <w:szCs w:val="30"/>
        </w:rPr>
        <w:t>GB/T24264-2009</w:t>
      </w:r>
    </w:p>
    <w:bookmarkEnd w:id="5"/>
    <w:p w14:paraId="22CCF7B3">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34.《干挂石材用金属挂件》GB/T32839-2016</w:t>
      </w:r>
    </w:p>
    <w:p w14:paraId="1F540684">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35.《严寒和寒冷地区居住建筑节能设计标准》JGJ26-2018</w:t>
      </w:r>
    </w:p>
    <w:p w14:paraId="64655FB8">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36.《宿舍建筑设计规范》JGJ36-2016</w:t>
      </w:r>
    </w:p>
    <w:p w14:paraId="21AD761E">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37.《图书馆建筑设计规范》JGJ38-2105</w:t>
      </w:r>
    </w:p>
    <w:p w14:paraId="148D4949">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38.《托儿所、幼儿园建筑设计规范》JGJ39-2016（2019版）</w:t>
      </w:r>
    </w:p>
    <w:p w14:paraId="02B6111B">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39.《疗养院建筑设计标准》JGJ/T40-2019</w:t>
      </w:r>
    </w:p>
    <w:p w14:paraId="3AD91CEA">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40.《文化馆建筑设计规范》JGJ/T41-2014</w:t>
      </w:r>
    </w:p>
    <w:p w14:paraId="1591EAF2">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41.《商店建筑设计规范》JGJ48-2014</w:t>
      </w:r>
    </w:p>
    <w:p w14:paraId="562ED209">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42.《剧场建筑设计规范》JGJ57-2016</w:t>
      </w:r>
    </w:p>
    <w:p w14:paraId="5826B913">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43.《电影院建筑设计规范》JGJ58-2008</w:t>
      </w:r>
    </w:p>
    <w:p w14:paraId="0764AC15">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44.《旅馆建筑设计规范》JGJ62-2014</w:t>
      </w:r>
    </w:p>
    <w:p w14:paraId="5FE262D5">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45.《饮食建筑设计标准》JGJ64-2017</w:t>
      </w:r>
    </w:p>
    <w:p w14:paraId="03DD53ED">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46.《博物馆建筑设计规范》JGJ66-2015</w:t>
      </w:r>
    </w:p>
    <w:p w14:paraId="0682414D">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47.《办公建筑设计标准》JGJ67-2019</w:t>
      </w:r>
    </w:p>
    <w:p w14:paraId="50EEF00B">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48.《夏热冬暖地区居住建筑节能设计标准》JGJ75-2012</w:t>
      </w:r>
    </w:p>
    <w:p w14:paraId="06207EEF">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49.《玻璃幕墙工程技术规范》JGJ102-2003</w:t>
      </w:r>
    </w:p>
    <w:p w14:paraId="4334D217">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50.《建筑玻璃应用技术规程》JGJ113-2015</w:t>
      </w:r>
    </w:p>
    <w:p w14:paraId="73079B53">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51.《金属与石材幕墙工程技术规范》JGJ133-2001</w:t>
      </w:r>
    </w:p>
    <w:p w14:paraId="1BD6D7B1">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52.《夏热冬冷地区居住建筑节能设计标准》JGJ134-2010</w:t>
      </w:r>
    </w:p>
    <w:p w14:paraId="4FAA8739">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53.《混凝土结构后锚固技术规程》JGJ145-2013</w:t>
      </w:r>
    </w:p>
    <w:p w14:paraId="0579DF86">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54.《古建筑修建工程施工及验收规范》JGJ159-2008</w:t>
      </w:r>
    </w:p>
    <w:p w14:paraId="1819BFF6">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55.《建筑门窗工程检测技术规程》JGJ/T205-2010</w:t>
      </w:r>
    </w:p>
    <w:p w14:paraId="26B0190C">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56.《预拌砂浆应用技术规程》JGJ/T223-2010</w:t>
      </w:r>
    </w:p>
    <w:p w14:paraId="0257CC64">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57.《采光顶与金属屋面技术规程》JGJ255-2012</w:t>
      </w:r>
    </w:p>
    <w:p w14:paraId="13368851">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58.《住宅室内防水工程技术规范》JGJ298-2013</w:t>
      </w:r>
    </w:p>
    <w:p w14:paraId="1EA4C4A5">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59.《公共建筑吊顶工程技术规程》JGJ345-2014</w:t>
      </w:r>
    </w:p>
    <w:p w14:paraId="1C9BF7E4">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60.《住宅室内装饰装修设计规范》JGJ367-2015</w:t>
      </w:r>
    </w:p>
    <w:p w14:paraId="6B2B0E1D">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61.《公共建筑室内空气质量控制设计标准》JGJ/T461-2019</w:t>
      </w:r>
    </w:p>
    <w:p w14:paraId="06C210A1">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62.《装配式整体卫生间应用技术标准》JGJ/T467-2018</w:t>
      </w:r>
    </w:p>
    <w:p w14:paraId="10116AE5">
      <w:pPr>
        <w:adjustRightInd w:val="0"/>
        <w:snapToGrid w:val="0"/>
        <w:spacing w:line="360" w:lineRule="auto"/>
        <w:ind w:firstLine="600" w:firstLineChars="200"/>
        <w:outlineLvl w:val="2"/>
        <w:rPr>
          <w:rFonts w:hint="eastAsia" w:asciiTheme="minorEastAsia" w:hAnsiTheme="minorEastAsia" w:eastAsiaTheme="minorEastAsia" w:cstheme="minorEastAsia"/>
          <w:color w:val="auto"/>
          <w:sz w:val="30"/>
          <w:szCs w:val="30"/>
        </w:rPr>
      </w:pPr>
      <w:bookmarkStart w:id="6" w:name="_Toc21746"/>
      <w:r>
        <w:rPr>
          <w:rFonts w:hint="eastAsia" w:asciiTheme="minorEastAsia" w:hAnsiTheme="minorEastAsia" w:eastAsiaTheme="minorEastAsia" w:cstheme="minorEastAsia"/>
          <w:color w:val="auto"/>
          <w:sz w:val="30"/>
          <w:szCs w:val="30"/>
        </w:rPr>
        <w:t>63.《建筑防护栏杆技术标准》JGJ/T470-2019</w:t>
      </w:r>
      <w:bookmarkEnd w:id="6"/>
    </w:p>
    <w:p w14:paraId="7E347D0A">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64.《装配式整体厨房应用技术标准》JGJ/T477-2018</w:t>
      </w:r>
    </w:p>
    <w:p w14:paraId="5D92CFA8">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65.《历史建筑数字化技术标准》JGJ/T489-2021（2021年10月1日起实施）</w:t>
      </w:r>
    </w:p>
    <w:p w14:paraId="2B3481A1">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66.《装配式内装修技术标准》JGJ/T491-2021（2021年10月1日起实施）</w:t>
      </w:r>
    </w:p>
    <w:p w14:paraId="044B2855">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67.《建筑装饰装修工程BIM实施标准》T/CBDA3-2016</w:t>
      </w:r>
    </w:p>
    <w:p w14:paraId="7549066D">
      <w:pPr>
        <w:adjustRightInd w:val="0"/>
        <w:snapToGrid w:val="0"/>
        <w:spacing w:line="360" w:lineRule="auto"/>
        <w:ind w:firstLine="600" w:firstLineChars="200"/>
        <w:outlineLvl w:val="2"/>
        <w:rPr>
          <w:rFonts w:hint="eastAsia" w:asciiTheme="minorEastAsia" w:hAnsiTheme="minorEastAsia" w:eastAsiaTheme="minorEastAsia" w:cstheme="minorEastAsia"/>
          <w:color w:val="auto"/>
          <w:sz w:val="30"/>
          <w:szCs w:val="30"/>
        </w:rPr>
      </w:pPr>
      <w:bookmarkStart w:id="7" w:name="_Toc12271"/>
      <w:r>
        <w:rPr>
          <w:rFonts w:hint="eastAsia" w:asciiTheme="minorEastAsia" w:hAnsiTheme="minorEastAsia" w:eastAsiaTheme="minorEastAsia" w:cstheme="minorEastAsia"/>
          <w:color w:val="auto"/>
          <w:sz w:val="30"/>
          <w:szCs w:val="30"/>
        </w:rPr>
        <w:t>68.《建筑装饰装修工程木质部品》T/CBDA4-2016</w:t>
      </w:r>
      <w:bookmarkEnd w:id="7"/>
    </w:p>
    <w:p w14:paraId="47D16BE9">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69.《</w:t>
      </w:r>
      <w:r>
        <w:rPr>
          <w:rFonts w:hint="eastAsia" w:asciiTheme="minorEastAsia" w:hAnsiTheme="minorEastAsia" w:eastAsiaTheme="minorEastAsia" w:cstheme="minorEastAsia"/>
          <w:color w:val="auto"/>
          <w:sz w:val="30"/>
          <w:szCs w:val="30"/>
        </w:rPr>
        <w:fldChar w:fldCharType="begin"/>
      </w:r>
      <w:r>
        <w:rPr>
          <w:rFonts w:hint="eastAsia" w:asciiTheme="minorEastAsia" w:hAnsiTheme="minorEastAsia" w:eastAsiaTheme="minorEastAsia" w:cstheme="minorEastAsia"/>
          <w:color w:val="auto"/>
          <w:sz w:val="30"/>
          <w:szCs w:val="30"/>
        </w:rPr>
        <w:instrText xml:space="preserve"> HYPERLINK "http://www.cbda.cn/html/cbdacb/20181030/123809.html" </w:instrText>
      </w:r>
      <w:r>
        <w:rPr>
          <w:rFonts w:hint="eastAsia" w:asciiTheme="minorEastAsia" w:hAnsiTheme="minorEastAsia" w:eastAsiaTheme="minorEastAsia" w:cstheme="minorEastAsia"/>
          <w:color w:val="auto"/>
          <w:sz w:val="30"/>
          <w:szCs w:val="30"/>
        </w:rPr>
        <w:fldChar w:fldCharType="separate"/>
      </w:r>
      <w:r>
        <w:rPr>
          <w:rFonts w:hint="eastAsia" w:asciiTheme="minorEastAsia" w:hAnsiTheme="minorEastAsia" w:eastAsiaTheme="minorEastAsia" w:cstheme="minorEastAsia"/>
          <w:color w:val="auto"/>
          <w:sz w:val="30"/>
          <w:szCs w:val="30"/>
        </w:rPr>
        <w:t>建筑装饰装修室内吊顶支撑系统技术规程</w:t>
      </w:r>
      <w:r>
        <w:rPr>
          <w:rFonts w:hint="eastAsia" w:asciiTheme="minorEastAsia" w:hAnsiTheme="minorEastAsia" w:eastAsiaTheme="minorEastAsia" w:cstheme="minorEastAsia"/>
          <w:color w:val="auto"/>
          <w:sz w:val="30"/>
          <w:szCs w:val="30"/>
        </w:rPr>
        <w:fldChar w:fldCharType="end"/>
      </w:r>
      <w:r>
        <w:rPr>
          <w:rFonts w:hint="eastAsia" w:asciiTheme="minorEastAsia" w:hAnsiTheme="minorEastAsia" w:eastAsiaTheme="minorEastAsia" w:cstheme="minorEastAsia"/>
          <w:color w:val="auto"/>
          <w:sz w:val="30"/>
          <w:szCs w:val="30"/>
        </w:rPr>
        <w:t>》T/CBDA18-2018</w:t>
      </w:r>
    </w:p>
    <w:p w14:paraId="7B17100C">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70.《住宅室内装饰装修工程施工实测实量技术规程》T/CBDA19-2018</w:t>
      </w:r>
    </w:p>
    <w:p w14:paraId="74E086D1">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71.《室内装饰装修乳胶漆施工技术规程》T/CBDA22-2018</w:t>
      </w:r>
    </w:p>
    <w:p w14:paraId="723F755A">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72.《建</w:t>
      </w:r>
      <w:r>
        <w:rPr>
          <w:rFonts w:hint="eastAsia" w:asciiTheme="minorEastAsia" w:hAnsiTheme="minorEastAsia" w:eastAsiaTheme="minorEastAsia" w:cstheme="minorEastAsia"/>
          <w:color w:val="auto"/>
          <w:sz w:val="30"/>
          <w:szCs w:val="30"/>
        </w:rPr>
        <w:fldChar w:fldCharType="begin"/>
      </w:r>
      <w:r>
        <w:rPr>
          <w:rFonts w:hint="eastAsia" w:asciiTheme="minorEastAsia" w:hAnsiTheme="minorEastAsia" w:eastAsiaTheme="minorEastAsia" w:cstheme="minorEastAsia"/>
          <w:color w:val="auto"/>
          <w:sz w:val="30"/>
          <w:szCs w:val="30"/>
        </w:rPr>
        <w:instrText xml:space="preserve"> HYPERLINK "http://www.cbda.cn/html/tzgg/20190220/125449.html" \t "_blank" </w:instrText>
      </w:r>
      <w:r>
        <w:rPr>
          <w:rFonts w:hint="eastAsia" w:asciiTheme="minorEastAsia" w:hAnsiTheme="minorEastAsia" w:eastAsiaTheme="minorEastAsia" w:cstheme="minorEastAsia"/>
          <w:color w:val="auto"/>
          <w:sz w:val="30"/>
          <w:szCs w:val="30"/>
        </w:rPr>
        <w:fldChar w:fldCharType="separate"/>
      </w:r>
      <w:r>
        <w:rPr>
          <w:rFonts w:hint="eastAsia" w:asciiTheme="minorEastAsia" w:hAnsiTheme="minorEastAsia" w:eastAsiaTheme="minorEastAsia" w:cstheme="minorEastAsia"/>
          <w:color w:val="auto"/>
          <w:sz w:val="30"/>
          <w:szCs w:val="30"/>
        </w:rPr>
        <w:t>筑幕墙工程设计文件编制标准</w:t>
      </w:r>
      <w:r>
        <w:rPr>
          <w:rFonts w:hint="eastAsia" w:asciiTheme="minorEastAsia" w:hAnsiTheme="minorEastAsia" w:eastAsiaTheme="minorEastAsia" w:cstheme="minorEastAsia"/>
          <w:color w:val="auto"/>
          <w:sz w:val="30"/>
          <w:szCs w:val="30"/>
        </w:rPr>
        <w:fldChar w:fldCharType="end"/>
      </w:r>
      <w:r>
        <w:rPr>
          <w:rFonts w:hint="eastAsia" w:asciiTheme="minorEastAsia" w:hAnsiTheme="minorEastAsia" w:eastAsiaTheme="minorEastAsia" w:cstheme="minorEastAsia"/>
          <w:color w:val="auto"/>
          <w:sz w:val="30"/>
          <w:szCs w:val="30"/>
        </w:rPr>
        <w:t>》T/CBDA26-2019</w:t>
      </w:r>
    </w:p>
    <w:p w14:paraId="2F91EBC0">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73.《建筑装饰装修机电末端综合布置技术规程》T/CBDA27-2019</w:t>
      </w:r>
    </w:p>
    <w:p w14:paraId="4841D57B">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74.《建筑室内安全玻璃工程技术规程》T/CBDA28-2019</w:t>
      </w:r>
    </w:p>
    <w:p w14:paraId="7E8AD220">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75.《建筑装饰装修工程施工组织设计标准》T/CBDA35-2019</w:t>
      </w:r>
    </w:p>
    <w:p w14:paraId="76223155">
      <w:pPr>
        <w:adjustRightInd w:val="0"/>
        <w:snapToGrid w:val="0"/>
        <w:spacing w:line="360" w:lineRule="auto"/>
        <w:ind w:firstLine="600" w:firstLineChars="200"/>
        <w:outlineLvl w:val="2"/>
        <w:rPr>
          <w:rFonts w:hint="eastAsia" w:asciiTheme="minorEastAsia" w:hAnsiTheme="minorEastAsia" w:eastAsiaTheme="minorEastAsia" w:cstheme="minorEastAsia"/>
          <w:color w:val="auto"/>
          <w:sz w:val="30"/>
          <w:szCs w:val="30"/>
        </w:rPr>
      </w:pPr>
      <w:bookmarkStart w:id="8" w:name="_Toc31528"/>
      <w:r>
        <w:rPr>
          <w:rFonts w:hint="eastAsia" w:asciiTheme="minorEastAsia" w:hAnsiTheme="minorEastAsia" w:eastAsiaTheme="minorEastAsia" w:cstheme="minorEastAsia"/>
          <w:color w:val="auto"/>
          <w:sz w:val="30"/>
          <w:szCs w:val="30"/>
        </w:rPr>
        <w:t>76.《建筑室内装饰装修制图标准》T/CBDA47-2021</w:t>
      </w:r>
      <w:bookmarkEnd w:id="8"/>
    </w:p>
    <w:p w14:paraId="0D13FADF">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77.《建筑装饰装修室内空间照明设计应用标准》T/CBDA49-2021</w:t>
      </w:r>
    </w:p>
    <w:p w14:paraId="6AF7FC7B">
      <w:pPr>
        <w:adjustRightInd w:val="0"/>
        <w:snapToGrid w:val="0"/>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78.《老年人照料设施建筑装饰装修设计规程》T/CBDA50-2021</w:t>
      </w:r>
    </w:p>
    <w:p w14:paraId="2D2CCF78">
      <w:pPr>
        <w:adjustRightInd w:val="0"/>
        <w:snapToGrid w:val="0"/>
        <w:spacing w:line="360" w:lineRule="auto"/>
        <w:ind w:firstLine="600" w:firstLineChars="200"/>
        <w:outlineLvl w:val="2"/>
        <w:rPr>
          <w:rFonts w:hint="eastAsia" w:asciiTheme="minorEastAsia" w:hAnsiTheme="minorEastAsia" w:eastAsiaTheme="minorEastAsia" w:cstheme="minorEastAsia"/>
          <w:color w:val="auto"/>
          <w:sz w:val="30"/>
          <w:szCs w:val="30"/>
        </w:rPr>
      </w:pPr>
      <w:bookmarkStart w:id="9" w:name="_Toc3613"/>
      <w:r>
        <w:rPr>
          <w:rFonts w:hint="eastAsia" w:asciiTheme="minorEastAsia" w:hAnsiTheme="minorEastAsia" w:eastAsiaTheme="minorEastAsia" w:cstheme="minorEastAsia"/>
          <w:color w:val="auto"/>
          <w:sz w:val="30"/>
          <w:szCs w:val="30"/>
        </w:rPr>
        <w:t>79.《建筑防火通用规范》GB55037-2022</w:t>
      </w:r>
      <w:bookmarkEnd w:id="9"/>
    </w:p>
    <w:p w14:paraId="21FA2AC5">
      <w:pPr>
        <w:pStyle w:val="6"/>
        <w:spacing w:line="24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lang w:val="en-US" w:eastAsia="zh-CN"/>
        </w:rPr>
        <w:t>80.</w:t>
      </w:r>
      <w:r>
        <w:rPr>
          <w:rFonts w:hint="eastAsia" w:asciiTheme="minorEastAsia" w:hAnsiTheme="minorEastAsia" w:eastAsiaTheme="minorEastAsia" w:cstheme="minorEastAsia"/>
          <w:color w:val="auto"/>
          <w:sz w:val="30"/>
          <w:szCs w:val="30"/>
        </w:rPr>
        <w:t>《展览陈列工程技术规程》T/CBDA40-2020</w:t>
      </w:r>
    </w:p>
    <w:p w14:paraId="5F12DFED">
      <w:pPr>
        <w:numPr>
          <w:ilvl w:val="0"/>
          <w:numId w:val="0"/>
        </w:numPr>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lang w:val="en-US" w:eastAsia="zh-CN"/>
        </w:rPr>
        <w:t>81.</w:t>
      </w:r>
      <w:r>
        <w:rPr>
          <w:rFonts w:hint="eastAsia" w:asciiTheme="minorEastAsia" w:hAnsiTheme="minorEastAsia" w:eastAsiaTheme="minorEastAsia" w:cstheme="minorEastAsia"/>
          <w:color w:val="auto"/>
          <w:sz w:val="30"/>
          <w:szCs w:val="30"/>
        </w:rPr>
        <w:t>《住宅装饰装修工程施工规范》GB50327-2001</w:t>
      </w:r>
    </w:p>
    <w:p w14:paraId="047B9D12">
      <w:pPr>
        <w:numPr>
          <w:ilvl w:val="0"/>
          <w:numId w:val="0"/>
        </w:numPr>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lang w:val="en-US" w:eastAsia="zh-CN"/>
        </w:rPr>
        <w:t>82.</w:t>
      </w:r>
      <w:r>
        <w:rPr>
          <w:rFonts w:hint="eastAsia" w:asciiTheme="minorEastAsia" w:hAnsiTheme="minorEastAsia" w:eastAsiaTheme="minorEastAsia" w:cstheme="minorEastAsia"/>
          <w:color w:val="auto"/>
          <w:sz w:val="30"/>
          <w:szCs w:val="30"/>
        </w:rPr>
        <w:t>《住宅性能评定标准》GB/T50362-2022</w:t>
      </w:r>
    </w:p>
    <w:p w14:paraId="4F28BC3F">
      <w:pPr>
        <w:numPr>
          <w:ilvl w:val="0"/>
          <w:numId w:val="0"/>
        </w:numPr>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lang w:val="en-US" w:eastAsia="zh-CN"/>
        </w:rPr>
        <w:t>83.</w:t>
      </w:r>
      <w:r>
        <w:rPr>
          <w:rFonts w:hint="eastAsia" w:asciiTheme="minorEastAsia" w:hAnsiTheme="minorEastAsia" w:eastAsiaTheme="minorEastAsia" w:cstheme="minorEastAsia"/>
          <w:color w:val="auto"/>
          <w:sz w:val="30"/>
          <w:szCs w:val="30"/>
        </w:rPr>
        <w:t>《住宅建筑规范》GB50368-2005</w:t>
      </w:r>
    </w:p>
    <w:p w14:paraId="491F8DDF">
      <w:pPr>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lang w:val="en-US" w:eastAsia="zh-CN"/>
        </w:rPr>
        <w:t>84.</w:t>
      </w:r>
      <w:r>
        <w:rPr>
          <w:rFonts w:hint="eastAsia" w:asciiTheme="minorEastAsia" w:hAnsiTheme="minorEastAsia" w:eastAsiaTheme="minorEastAsia" w:cstheme="minorEastAsia"/>
          <w:color w:val="auto"/>
          <w:sz w:val="30"/>
          <w:szCs w:val="30"/>
        </w:rPr>
        <w:t>《住宅建筑电气设计规范》JGJ242-2011</w:t>
      </w:r>
    </w:p>
    <w:p w14:paraId="7E744D76">
      <w:pPr>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lang w:val="en-US" w:eastAsia="zh-CN"/>
        </w:rPr>
        <w:t>85.</w:t>
      </w:r>
      <w:r>
        <w:rPr>
          <w:rFonts w:hint="eastAsia" w:asciiTheme="minorEastAsia" w:hAnsiTheme="minorEastAsia" w:eastAsiaTheme="minorEastAsia" w:cstheme="minorEastAsia"/>
          <w:color w:val="auto"/>
          <w:sz w:val="30"/>
          <w:szCs w:val="30"/>
        </w:rPr>
        <w:t>《住宅室内装饰装修工程质量验收规范》JGJ/304-2013</w:t>
      </w:r>
    </w:p>
    <w:p w14:paraId="4BB7FF10">
      <w:pPr>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lang w:val="en-US" w:eastAsia="zh-CN"/>
        </w:rPr>
        <w:t>86.</w:t>
      </w:r>
      <w:r>
        <w:rPr>
          <w:rFonts w:hint="eastAsia" w:asciiTheme="minorEastAsia" w:hAnsiTheme="minorEastAsia" w:eastAsiaTheme="minorEastAsia" w:cstheme="minorEastAsia"/>
          <w:color w:val="auto"/>
          <w:sz w:val="30"/>
          <w:szCs w:val="30"/>
        </w:rPr>
        <w:t>《住宅建筑室内装修污染控制技术标准》JGJ/T436-2018</w:t>
      </w:r>
    </w:p>
    <w:p w14:paraId="0BB6598C">
      <w:pPr>
        <w:spacing w:line="360" w:lineRule="auto"/>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说明：上文未列标准、规范以国家、行业、团体现行标准、规范为准。</w:t>
      </w:r>
    </w:p>
    <w:p w14:paraId="44336801">
      <w:pPr>
        <w:ind w:firstLine="576" w:firstLineChars="200"/>
        <w:rPr>
          <w:rFonts w:hint="eastAsia" w:asciiTheme="minorEastAsia" w:hAnsiTheme="minorEastAsia" w:eastAsiaTheme="minorEastAsia" w:cstheme="minorEastAsia"/>
          <w:spacing w:val="-6"/>
          <w:kern w:val="0"/>
          <w:sz w:val="30"/>
          <w:szCs w:val="30"/>
        </w:rPr>
      </w:pPr>
    </w:p>
    <w:p w14:paraId="2309E83E">
      <w:pPr>
        <w:numPr>
          <w:ilvl w:val="0"/>
          <w:numId w:val="1"/>
        </w:numPr>
        <w:ind w:firstLine="576" w:firstLineChars="200"/>
        <w:rPr>
          <w:rFonts w:hint="eastAsia" w:asciiTheme="minorEastAsia" w:hAnsiTheme="minorEastAsia" w:eastAsiaTheme="minorEastAsia" w:cstheme="minorEastAsia"/>
          <w:spacing w:val="-6"/>
          <w:kern w:val="0"/>
          <w:sz w:val="30"/>
          <w:szCs w:val="30"/>
        </w:rPr>
      </w:pPr>
      <w:r>
        <w:rPr>
          <w:rFonts w:hint="eastAsia" w:asciiTheme="minorEastAsia" w:hAnsiTheme="minorEastAsia" w:eastAsiaTheme="minorEastAsia" w:cstheme="minorEastAsia"/>
          <w:spacing w:val="-6"/>
          <w:kern w:val="0"/>
          <w:sz w:val="30"/>
          <w:szCs w:val="30"/>
        </w:rPr>
        <w:t>工程复查实施细则</w:t>
      </w:r>
    </w:p>
    <w:p w14:paraId="08F799A9">
      <w:pPr>
        <w:numPr>
          <w:numId w:val="0"/>
        </w:numPr>
        <w:rPr>
          <w:rFonts w:hint="eastAsia" w:asciiTheme="minorEastAsia" w:hAnsiTheme="minorEastAsia" w:eastAsiaTheme="minorEastAsia" w:cstheme="minorEastAsia"/>
          <w:spacing w:val="-6"/>
          <w:kern w:val="0"/>
          <w:sz w:val="30"/>
          <w:szCs w:val="30"/>
        </w:rPr>
        <w:sectPr>
          <w:footerReference r:id="rId3" w:type="default"/>
          <w:pgSz w:w="11906" w:h="16838"/>
          <w:pgMar w:top="1440" w:right="1800" w:bottom="1440" w:left="1800" w:header="851" w:footer="992" w:gutter="0"/>
          <w:cols w:space="720" w:num="1"/>
          <w:docGrid w:type="lines" w:linePitch="312" w:charSpace="0"/>
        </w:sectPr>
      </w:pPr>
    </w:p>
    <w:p w14:paraId="6AAF38EE">
      <w:pPr>
        <w:jc w:val="left"/>
        <w:outlineLvl w:val="1"/>
        <w:rPr>
          <w:rFonts w:hint="eastAsia" w:ascii="黑体" w:hAnsi="黑体" w:eastAsia="黑体"/>
          <w:b/>
          <w:bCs/>
          <w:sz w:val="30"/>
          <w:szCs w:val="30"/>
          <w:lang w:eastAsia="zh-CN"/>
        </w:rPr>
      </w:pPr>
      <w:bookmarkStart w:id="10" w:name="_Toc7123"/>
      <w:r>
        <w:rPr>
          <w:rFonts w:hint="eastAsia" w:ascii="黑体" w:hAnsi="黑体" w:eastAsia="黑体"/>
          <w:b/>
          <w:bCs/>
          <w:sz w:val="30"/>
          <w:szCs w:val="30"/>
          <w:lang w:eastAsia="zh-CN"/>
        </w:rPr>
        <w:t>表一：</w:t>
      </w:r>
    </w:p>
    <w:p w14:paraId="6265BBEE">
      <w:pPr>
        <w:jc w:val="center"/>
        <w:outlineLvl w:val="1"/>
        <w:rPr>
          <w:b/>
          <w:bCs/>
          <w:sz w:val="10"/>
          <w:szCs w:val="10"/>
        </w:rPr>
      </w:pPr>
      <w:r>
        <w:rPr>
          <w:rFonts w:hint="eastAsia" w:ascii="黑体" w:hAnsi="黑体" w:eastAsia="黑体"/>
          <w:b/>
          <w:bCs/>
          <w:sz w:val="30"/>
          <w:szCs w:val="30"/>
        </w:rPr>
        <w:t>公共建筑装饰工程复查实施细则</w:t>
      </w:r>
      <w:bookmarkEnd w:id="10"/>
    </w:p>
    <w:tbl>
      <w:tblPr>
        <w:tblStyle w:val="4"/>
        <w:tblW w:w="14309"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218"/>
        <w:gridCol w:w="5287"/>
        <w:gridCol w:w="2212"/>
        <w:gridCol w:w="1701"/>
        <w:gridCol w:w="851"/>
        <w:gridCol w:w="2268"/>
      </w:tblGrid>
      <w:tr w14:paraId="4AD9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Borders>
              <w:top w:val="single" w:color="auto" w:sz="4" w:space="0"/>
              <w:left w:val="single" w:color="auto" w:sz="4" w:space="0"/>
              <w:bottom w:val="single" w:color="auto" w:sz="4" w:space="0"/>
              <w:right w:val="single" w:color="auto" w:sz="4" w:space="0"/>
            </w:tcBorders>
            <w:noWrap w:val="0"/>
            <w:vAlign w:val="center"/>
          </w:tcPr>
          <w:p w14:paraId="13FE1FCA">
            <w:pPr>
              <w:snapToGrid w:val="0"/>
              <w:spacing w:line="288" w:lineRule="auto"/>
              <w:jc w:val="center"/>
              <w:rPr>
                <w:b/>
                <w:bCs/>
                <w:sz w:val="24"/>
              </w:rPr>
            </w:pPr>
            <w:r>
              <w:rPr>
                <w:b/>
                <w:bCs/>
                <w:sz w:val="24"/>
              </w:rPr>
              <w:t>序号</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16867DB4">
            <w:pPr>
              <w:snapToGrid w:val="0"/>
              <w:spacing w:line="288" w:lineRule="auto"/>
              <w:jc w:val="center"/>
              <w:rPr>
                <w:b/>
                <w:bCs/>
                <w:sz w:val="24"/>
              </w:rPr>
            </w:pPr>
            <w:r>
              <w:rPr>
                <w:rFonts w:hint="eastAsia"/>
                <w:b/>
                <w:bCs/>
                <w:sz w:val="24"/>
              </w:rPr>
              <w:t>复查项目</w:t>
            </w:r>
          </w:p>
        </w:tc>
        <w:tc>
          <w:tcPr>
            <w:tcW w:w="5287" w:type="dxa"/>
            <w:tcBorders>
              <w:top w:val="single" w:color="auto" w:sz="4" w:space="0"/>
              <w:left w:val="single" w:color="auto" w:sz="4" w:space="0"/>
              <w:bottom w:val="single" w:color="auto" w:sz="4" w:space="0"/>
              <w:right w:val="single" w:color="auto" w:sz="4" w:space="0"/>
            </w:tcBorders>
            <w:noWrap w:val="0"/>
            <w:vAlign w:val="center"/>
          </w:tcPr>
          <w:p w14:paraId="02346BAC">
            <w:pPr>
              <w:snapToGrid w:val="0"/>
              <w:spacing w:line="288" w:lineRule="auto"/>
              <w:jc w:val="center"/>
              <w:rPr>
                <w:b/>
                <w:bCs/>
                <w:sz w:val="24"/>
              </w:rPr>
            </w:pPr>
            <w:r>
              <w:rPr>
                <w:rFonts w:hint="eastAsia"/>
                <w:b/>
                <w:bCs/>
                <w:sz w:val="24"/>
              </w:rPr>
              <w:t>复查内容</w:t>
            </w:r>
          </w:p>
        </w:tc>
        <w:tc>
          <w:tcPr>
            <w:tcW w:w="2212" w:type="dxa"/>
            <w:tcBorders>
              <w:top w:val="single" w:color="auto" w:sz="4" w:space="0"/>
              <w:left w:val="single" w:color="auto" w:sz="4" w:space="0"/>
              <w:bottom w:val="single" w:color="auto" w:sz="4" w:space="0"/>
              <w:right w:val="single" w:color="auto" w:sz="4" w:space="0"/>
            </w:tcBorders>
            <w:noWrap w:val="0"/>
            <w:vAlign w:val="center"/>
          </w:tcPr>
          <w:p w14:paraId="6C056358">
            <w:pPr>
              <w:snapToGrid w:val="0"/>
              <w:spacing w:line="288" w:lineRule="auto"/>
              <w:jc w:val="center"/>
              <w:rPr>
                <w:b/>
                <w:bCs/>
                <w:sz w:val="24"/>
              </w:rPr>
            </w:pPr>
            <w:r>
              <w:rPr>
                <w:rFonts w:hint="eastAsia"/>
                <w:b/>
                <w:bCs/>
                <w:sz w:val="24"/>
              </w:rPr>
              <w:t>评分标准</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25F5935">
            <w:pPr>
              <w:snapToGrid w:val="0"/>
              <w:spacing w:line="288" w:lineRule="auto"/>
              <w:jc w:val="center"/>
              <w:rPr>
                <w:b/>
                <w:bCs/>
                <w:sz w:val="24"/>
              </w:rPr>
            </w:pPr>
            <w:r>
              <w:rPr>
                <w:b/>
                <w:bCs/>
                <w:sz w:val="24"/>
              </w:rPr>
              <w:t>备注</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62F6BB1C">
            <w:pPr>
              <w:snapToGrid w:val="0"/>
              <w:spacing w:line="288" w:lineRule="auto"/>
              <w:jc w:val="center"/>
              <w:rPr>
                <w:b/>
                <w:bCs/>
                <w:sz w:val="24"/>
              </w:rPr>
            </w:pPr>
            <w:r>
              <w:rPr>
                <w:rFonts w:hint="eastAsia"/>
                <w:b/>
                <w:bCs/>
                <w:sz w:val="24"/>
              </w:rPr>
              <w:t>分值</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DE9CC64">
            <w:pPr>
              <w:snapToGrid w:val="0"/>
              <w:spacing w:line="288" w:lineRule="auto"/>
              <w:jc w:val="center"/>
              <w:rPr>
                <w:b/>
                <w:bCs/>
                <w:sz w:val="24"/>
              </w:rPr>
            </w:pPr>
            <w:r>
              <w:rPr>
                <w:rFonts w:hint="eastAsia"/>
                <w:b/>
                <w:bCs/>
                <w:sz w:val="24"/>
              </w:rPr>
              <w:t>复查方法</w:t>
            </w:r>
          </w:p>
        </w:tc>
      </w:tr>
      <w:tr w14:paraId="207A3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trPr>
        <w:tc>
          <w:tcPr>
            <w:tcW w:w="772" w:type="dxa"/>
            <w:vMerge w:val="restart"/>
            <w:tcBorders>
              <w:top w:val="single" w:color="auto" w:sz="4" w:space="0"/>
              <w:left w:val="single" w:color="auto" w:sz="4" w:space="0"/>
              <w:right w:val="single" w:color="auto" w:sz="4" w:space="0"/>
            </w:tcBorders>
            <w:noWrap w:val="0"/>
            <w:vAlign w:val="center"/>
          </w:tcPr>
          <w:p w14:paraId="7067D39B">
            <w:pPr>
              <w:snapToGrid w:val="0"/>
              <w:spacing w:line="288" w:lineRule="auto"/>
              <w:jc w:val="center"/>
            </w:pPr>
            <w:r>
              <w:t>1</w:t>
            </w:r>
          </w:p>
        </w:tc>
        <w:tc>
          <w:tcPr>
            <w:tcW w:w="1218" w:type="dxa"/>
            <w:vMerge w:val="restart"/>
            <w:tcBorders>
              <w:top w:val="single" w:color="auto" w:sz="4" w:space="0"/>
              <w:left w:val="single" w:color="auto" w:sz="4" w:space="0"/>
              <w:right w:val="single" w:color="auto" w:sz="4" w:space="0"/>
            </w:tcBorders>
            <w:noWrap w:val="0"/>
            <w:vAlign w:val="center"/>
          </w:tcPr>
          <w:p w14:paraId="45B6FD94">
            <w:pPr>
              <w:snapToGrid w:val="0"/>
              <w:spacing w:line="240" w:lineRule="exact"/>
              <w:jc w:val="center"/>
              <w:rPr>
                <w:rFonts w:ascii="宋体" w:hAnsi="宋体"/>
                <w:szCs w:val="21"/>
              </w:rPr>
            </w:pPr>
            <w:r>
              <w:rPr>
                <w:rFonts w:hint="eastAsia" w:ascii="宋体" w:hAnsi="宋体"/>
                <w:szCs w:val="21"/>
              </w:rPr>
              <w:t>资料</w:t>
            </w:r>
          </w:p>
        </w:tc>
        <w:tc>
          <w:tcPr>
            <w:tcW w:w="5287" w:type="dxa"/>
            <w:tcBorders>
              <w:top w:val="single" w:color="auto" w:sz="4" w:space="0"/>
              <w:left w:val="single" w:color="auto" w:sz="4" w:space="0"/>
              <w:bottom w:val="single" w:color="auto" w:sz="4" w:space="0"/>
              <w:right w:val="single" w:color="auto" w:sz="4" w:space="0"/>
            </w:tcBorders>
            <w:noWrap w:val="0"/>
            <w:vAlign w:val="center"/>
          </w:tcPr>
          <w:p w14:paraId="1203000E">
            <w:pPr>
              <w:snapToGrid w:val="0"/>
              <w:spacing w:line="276" w:lineRule="auto"/>
              <w:rPr>
                <w:rFonts w:ascii="黑体" w:hAnsi="黑体" w:eastAsia="黑体"/>
                <w:szCs w:val="21"/>
              </w:rPr>
            </w:pPr>
            <w:r>
              <w:rPr>
                <w:rFonts w:hint="eastAsia" w:ascii="黑体" w:hAnsi="黑体" w:eastAsia="黑体"/>
                <w:szCs w:val="21"/>
              </w:rPr>
              <w:t>必要文件：</w:t>
            </w:r>
          </w:p>
          <w:p w14:paraId="74D5DBA1">
            <w:pPr>
              <w:snapToGrid w:val="0"/>
              <w:spacing w:line="276" w:lineRule="auto"/>
              <w:rPr>
                <w:rFonts w:ascii="宋体" w:hAnsi="宋体"/>
                <w:szCs w:val="21"/>
              </w:rPr>
            </w:pPr>
            <w:r>
              <w:rPr>
                <w:rFonts w:hint="eastAsia" w:ascii="宋体" w:hAnsi="宋体"/>
                <w:szCs w:val="21"/>
              </w:rPr>
              <w:t>1.企业法人营业证照、资质等级证书、安全生产许可证（此三项上一年度参评企业可提供加盖本单位公章的复印件）</w:t>
            </w:r>
          </w:p>
          <w:p w14:paraId="0D5C43AE">
            <w:pPr>
              <w:snapToGrid w:val="0"/>
              <w:spacing w:line="276" w:lineRule="auto"/>
              <w:rPr>
                <w:rFonts w:ascii="宋体" w:hAnsi="宋体"/>
                <w:szCs w:val="21"/>
              </w:rPr>
            </w:pPr>
            <w:r>
              <w:rPr>
                <w:rFonts w:hint="eastAsia" w:ascii="宋体" w:hAnsi="宋体"/>
                <w:szCs w:val="21"/>
              </w:rPr>
              <w:t>2.项目经理注册建造师证书、安全生产考核合格证书；</w:t>
            </w:r>
          </w:p>
          <w:p w14:paraId="2700F0E5">
            <w:pPr>
              <w:snapToGrid w:val="0"/>
              <w:spacing w:line="276" w:lineRule="auto"/>
              <w:rPr>
                <w:rFonts w:ascii="宋体" w:hAnsi="宋体"/>
                <w:szCs w:val="21"/>
              </w:rPr>
            </w:pPr>
            <w:r>
              <w:rPr>
                <w:rFonts w:hint="eastAsia" w:ascii="宋体" w:hAnsi="宋体"/>
                <w:szCs w:val="21"/>
              </w:rPr>
              <w:t>3.施工许可相关证明文件；</w:t>
            </w:r>
          </w:p>
          <w:p w14:paraId="4EFEF4B7">
            <w:pPr>
              <w:snapToGrid w:val="0"/>
              <w:spacing w:line="276" w:lineRule="auto"/>
              <w:rPr>
                <w:rFonts w:ascii="宋体" w:hAnsi="宋体"/>
                <w:szCs w:val="21"/>
              </w:rPr>
            </w:pPr>
            <w:r>
              <w:rPr>
                <w:rFonts w:hint="eastAsia" w:ascii="宋体" w:hAnsi="宋体"/>
                <w:szCs w:val="21"/>
              </w:rPr>
              <w:t>4.施工合同；</w:t>
            </w:r>
          </w:p>
          <w:p w14:paraId="6E09EE19">
            <w:pPr>
              <w:snapToGrid w:val="0"/>
              <w:spacing w:line="276" w:lineRule="auto"/>
              <w:rPr>
                <w:rFonts w:ascii="宋体" w:hAnsi="宋体"/>
                <w:szCs w:val="21"/>
              </w:rPr>
            </w:pPr>
            <w:r>
              <w:rPr>
                <w:rFonts w:hint="eastAsia" w:ascii="宋体" w:hAnsi="宋体"/>
                <w:szCs w:val="21"/>
              </w:rPr>
              <w:t>5.项目竣工验收证明文件（相关责任主体签章必须齐全）；</w:t>
            </w:r>
          </w:p>
          <w:p w14:paraId="61EE9FA3">
            <w:pPr>
              <w:snapToGrid w:val="0"/>
              <w:spacing w:line="276" w:lineRule="auto"/>
              <w:rPr>
                <w:rFonts w:ascii="宋体" w:hAnsi="宋体"/>
                <w:szCs w:val="21"/>
              </w:rPr>
            </w:pPr>
            <w:r>
              <w:rPr>
                <w:rFonts w:hint="eastAsia" w:ascii="宋体" w:hAnsi="宋体"/>
                <w:szCs w:val="21"/>
              </w:rPr>
              <w:t>6.消防验收合格证明或消防竣工备案证明；</w:t>
            </w:r>
          </w:p>
          <w:p w14:paraId="2D92A907">
            <w:pPr>
              <w:snapToGrid w:val="0"/>
              <w:spacing w:line="276" w:lineRule="auto"/>
              <w:rPr>
                <w:rFonts w:hint="eastAsia" w:ascii="宋体" w:hAnsi="宋体"/>
                <w:szCs w:val="21"/>
              </w:rPr>
            </w:pPr>
            <w:r>
              <w:rPr>
                <w:rFonts w:hint="eastAsia" w:ascii="宋体" w:hAnsi="宋体"/>
                <w:szCs w:val="21"/>
              </w:rPr>
              <w:t>7.室内环境质量检测报告，需由具备相应资质的检测机构出具。</w:t>
            </w:r>
          </w:p>
        </w:tc>
        <w:tc>
          <w:tcPr>
            <w:tcW w:w="2212" w:type="dxa"/>
            <w:tcBorders>
              <w:top w:val="single" w:color="auto" w:sz="4" w:space="0"/>
              <w:left w:val="single" w:color="auto" w:sz="4" w:space="0"/>
              <w:bottom w:val="single" w:color="auto" w:sz="4" w:space="0"/>
              <w:right w:val="single" w:color="auto" w:sz="4" w:space="0"/>
            </w:tcBorders>
            <w:noWrap w:val="0"/>
            <w:vAlign w:val="center"/>
          </w:tcPr>
          <w:p w14:paraId="1D798E26">
            <w:pPr>
              <w:snapToGrid w:val="0"/>
              <w:spacing w:line="288" w:lineRule="auto"/>
              <w:jc w:val="left"/>
              <w:rPr>
                <w:rFonts w:ascii="宋体" w:hAnsi="宋体"/>
                <w:szCs w:val="21"/>
              </w:rPr>
            </w:pPr>
            <w:r>
              <w:rPr>
                <w:rFonts w:hint="eastAsia" w:ascii="宋体" w:hAnsi="宋体"/>
                <w:szCs w:val="21"/>
              </w:rPr>
              <w:t>必要文件有一项不合格或不符合要求者不予评审。</w:t>
            </w:r>
          </w:p>
        </w:tc>
        <w:tc>
          <w:tcPr>
            <w:tcW w:w="1701" w:type="dxa"/>
            <w:tcBorders>
              <w:top w:val="single" w:color="auto" w:sz="4" w:space="0"/>
              <w:left w:val="single" w:color="auto" w:sz="4" w:space="0"/>
              <w:right w:val="single" w:color="auto" w:sz="4" w:space="0"/>
            </w:tcBorders>
            <w:noWrap w:val="0"/>
            <w:vAlign w:val="center"/>
          </w:tcPr>
          <w:p w14:paraId="0BC36C38">
            <w:pPr>
              <w:snapToGrid w:val="0"/>
              <w:spacing w:line="288" w:lineRule="auto"/>
              <w:jc w:val="left"/>
              <w:rPr>
                <w:rFonts w:ascii="宋体" w:hAnsi="宋体"/>
                <w:szCs w:val="21"/>
              </w:rPr>
            </w:pPr>
            <w:r>
              <w:rPr>
                <w:rFonts w:hint="eastAsia" w:ascii="宋体" w:hAnsi="宋体"/>
                <w:szCs w:val="21"/>
              </w:rPr>
              <w:t>1.必要文件应为原件或可网查的电子文件打印件并加盖申报单位鲜章；</w:t>
            </w:r>
          </w:p>
          <w:p w14:paraId="654A0D36">
            <w:pPr>
              <w:snapToGrid w:val="0"/>
              <w:spacing w:line="288" w:lineRule="auto"/>
              <w:jc w:val="left"/>
              <w:rPr>
                <w:rFonts w:hint="eastAsia" w:ascii="宋体" w:hAnsi="宋体"/>
                <w:szCs w:val="21"/>
              </w:rPr>
            </w:pPr>
            <w:r>
              <w:rPr>
                <w:rFonts w:ascii="宋体" w:hAnsi="宋体"/>
                <w:szCs w:val="21"/>
              </w:rPr>
              <w:t>2</w:t>
            </w:r>
            <w:r>
              <w:rPr>
                <w:rFonts w:hint="eastAsia" w:ascii="宋体" w:hAnsi="宋体"/>
                <w:szCs w:val="21"/>
              </w:rPr>
              <w:t>.联合体项目需提供其他成员单位意见书。</w:t>
            </w:r>
          </w:p>
        </w:tc>
        <w:tc>
          <w:tcPr>
            <w:tcW w:w="851" w:type="dxa"/>
            <w:vMerge w:val="restart"/>
            <w:tcBorders>
              <w:top w:val="single" w:color="auto" w:sz="4" w:space="0"/>
              <w:left w:val="single" w:color="auto" w:sz="4" w:space="0"/>
              <w:right w:val="single" w:color="auto" w:sz="4" w:space="0"/>
            </w:tcBorders>
            <w:noWrap w:val="0"/>
            <w:vAlign w:val="center"/>
          </w:tcPr>
          <w:p w14:paraId="2E224E33">
            <w:pPr>
              <w:snapToGrid w:val="0"/>
              <w:spacing w:line="288" w:lineRule="auto"/>
              <w:jc w:val="center"/>
              <w:rPr>
                <w:rFonts w:ascii="宋体" w:hAnsi="宋体"/>
                <w:szCs w:val="21"/>
              </w:rPr>
            </w:pPr>
            <w:r>
              <w:rPr>
                <w:rFonts w:hint="eastAsia" w:ascii="宋体" w:hAnsi="宋体"/>
                <w:szCs w:val="21"/>
              </w:rPr>
              <w:t>2</w:t>
            </w:r>
            <w:r>
              <w:rPr>
                <w:rFonts w:ascii="宋体" w:hAnsi="宋体"/>
                <w:szCs w:val="21"/>
              </w:rPr>
              <w:t>0</w:t>
            </w:r>
            <w:r>
              <w:rPr>
                <w:rFonts w:hint="eastAsia" w:ascii="宋体" w:hAnsi="宋体"/>
                <w:szCs w:val="21"/>
              </w:rPr>
              <w:t>分</w:t>
            </w:r>
          </w:p>
        </w:tc>
        <w:tc>
          <w:tcPr>
            <w:tcW w:w="2268" w:type="dxa"/>
            <w:tcBorders>
              <w:top w:val="single" w:color="auto" w:sz="4" w:space="0"/>
              <w:left w:val="single" w:color="auto" w:sz="4" w:space="0"/>
              <w:right w:val="single" w:color="auto" w:sz="4" w:space="0"/>
            </w:tcBorders>
            <w:noWrap w:val="0"/>
            <w:vAlign w:val="center"/>
          </w:tcPr>
          <w:p w14:paraId="4B0BD1B7">
            <w:pPr>
              <w:snapToGrid w:val="0"/>
              <w:spacing w:line="276" w:lineRule="auto"/>
              <w:rPr>
                <w:rFonts w:ascii="宋体" w:hAnsi="宋体"/>
                <w:szCs w:val="21"/>
              </w:rPr>
            </w:pPr>
            <w:r>
              <w:rPr>
                <w:rFonts w:hint="eastAsia" w:ascii="宋体" w:hAnsi="宋体"/>
                <w:szCs w:val="21"/>
              </w:rPr>
              <w:t>查：相关文件资料原件或电子证件（提供网查链接）；</w:t>
            </w:r>
          </w:p>
          <w:p w14:paraId="36A009E0">
            <w:pPr>
              <w:snapToGrid w:val="0"/>
              <w:spacing w:line="276" w:lineRule="auto"/>
              <w:ind w:firstLine="420" w:firstLineChars="200"/>
              <w:rPr>
                <w:rFonts w:ascii="宋体" w:hAnsi="宋体"/>
                <w:szCs w:val="21"/>
              </w:rPr>
            </w:pPr>
            <w:r>
              <w:rPr>
                <w:rFonts w:hint="eastAsia" w:ascii="宋体" w:hAnsi="宋体"/>
                <w:szCs w:val="21"/>
              </w:rPr>
              <w:t>原件已存入城建档案馆或城建档案管理机构的可提供由档案馆或城建档案管理机构出具的加盖出具单位和申报单位鲜章并注明“原件存于X</w:t>
            </w:r>
            <w:r>
              <w:rPr>
                <w:rFonts w:ascii="宋体" w:hAnsi="宋体"/>
                <w:szCs w:val="21"/>
              </w:rPr>
              <w:t>XX</w:t>
            </w:r>
            <w:r>
              <w:rPr>
                <w:rFonts w:hint="eastAsia" w:ascii="宋体" w:hAnsi="宋体"/>
                <w:szCs w:val="21"/>
              </w:rPr>
              <w:t>，复印件与原件相同”字样的复印件。</w:t>
            </w:r>
          </w:p>
        </w:tc>
      </w:tr>
      <w:tr w14:paraId="3597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772" w:type="dxa"/>
            <w:vMerge w:val="continue"/>
            <w:tcBorders>
              <w:left w:val="single" w:color="auto" w:sz="4" w:space="0"/>
              <w:right w:val="single" w:color="auto" w:sz="4" w:space="0"/>
            </w:tcBorders>
            <w:noWrap w:val="0"/>
            <w:vAlign w:val="center"/>
          </w:tcPr>
          <w:p w14:paraId="4CE484C9">
            <w:pPr>
              <w:snapToGrid w:val="0"/>
              <w:spacing w:line="288" w:lineRule="auto"/>
              <w:jc w:val="center"/>
              <w:rPr>
                <w:rFonts w:ascii="宋体" w:hAnsi="宋体"/>
                <w:szCs w:val="21"/>
              </w:rPr>
            </w:pPr>
          </w:p>
        </w:tc>
        <w:tc>
          <w:tcPr>
            <w:tcW w:w="1218" w:type="dxa"/>
            <w:vMerge w:val="continue"/>
            <w:tcBorders>
              <w:left w:val="single" w:color="auto" w:sz="4" w:space="0"/>
              <w:right w:val="single" w:color="auto" w:sz="4" w:space="0"/>
            </w:tcBorders>
            <w:noWrap w:val="0"/>
            <w:vAlign w:val="center"/>
          </w:tcPr>
          <w:p w14:paraId="798AC396">
            <w:pPr>
              <w:snapToGrid w:val="0"/>
              <w:spacing w:line="240" w:lineRule="exact"/>
              <w:jc w:val="center"/>
              <w:rPr>
                <w:rFonts w:ascii="宋体" w:hAnsi="宋体"/>
                <w:szCs w:val="21"/>
              </w:rPr>
            </w:pPr>
          </w:p>
        </w:tc>
        <w:tc>
          <w:tcPr>
            <w:tcW w:w="5287" w:type="dxa"/>
            <w:tcBorders>
              <w:top w:val="single" w:color="auto" w:sz="4" w:space="0"/>
              <w:left w:val="single" w:color="auto" w:sz="4" w:space="0"/>
              <w:bottom w:val="single" w:color="auto" w:sz="4" w:space="0"/>
              <w:right w:val="single" w:color="auto" w:sz="4" w:space="0"/>
            </w:tcBorders>
            <w:noWrap w:val="0"/>
            <w:vAlign w:val="center"/>
          </w:tcPr>
          <w:p w14:paraId="5BB796DE">
            <w:pPr>
              <w:snapToGrid w:val="0"/>
              <w:spacing w:line="276" w:lineRule="auto"/>
              <w:rPr>
                <w:rFonts w:ascii="黑体" w:hAnsi="黑体" w:eastAsia="黑体"/>
                <w:spacing w:val="-4"/>
                <w:szCs w:val="21"/>
              </w:rPr>
            </w:pPr>
            <w:r>
              <w:rPr>
                <w:rFonts w:hint="eastAsia" w:ascii="黑体" w:hAnsi="黑体" w:eastAsia="黑体"/>
                <w:szCs w:val="21"/>
              </w:rPr>
              <w:t>工程安全证明资料：</w:t>
            </w:r>
          </w:p>
          <w:p w14:paraId="39FB5C81">
            <w:pPr>
              <w:snapToGrid w:val="0"/>
              <w:spacing w:line="276" w:lineRule="auto"/>
              <w:rPr>
                <w:rFonts w:ascii="宋体" w:hAnsi="宋体"/>
                <w:spacing w:val="-4"/>
                <w:szCs w:val="21"/>
              </w:rPr>
            </w:pPr>
            <w:r>
              <w:rPr>
                <w:rFonts w:hint="eastAsia" w:ascii="宋体" w:hAnsi="宋体"/>
                <w:spacing w:val="-4"/>
                <w:szCs w:val="21"/>
              </w:rPr>
              <w:t>1.涉及主体和承重结构改动或增加荷载时，必须具有经原结构设计单位或具备相应资质设计单位的认可文件。（需审查原件）</w:t>
            </w:r>
          </w:p>
          <w:p w14:paraId="38E188E5">
            <w:pPr>
              <w:snapToGrid w:val="0"/>
              <w:spacing w:line="276" w:lineRule="auto"/>
              <w:rPr>
                <w:rFonts w:ascii="宋体" w:hAnsi="宋体"/>
                <w:spacing w:val="-4"/>
                <w:szCs w:val="21"/>
              </w:rPr>
            </w:pPr>
            <w:r>
              <w:rPr>
                <w:rFonts w:hint="eastAsia" w:ascii="宋体" w:hAnsi="宋体"/>
                <w:spacing w:val="-4"/>
                <w:szCs w:val="21"/>
              </w:rPr>
              <w:t>2.大型吊灯安装的过载试验和相关隐蔽资料、构架节点图</w:t>
            </w:r>
          </w:p>
          <w:p w14:paraId="504D1FA8">
            <w:pPr>
              <w:snapToGrid w:val="0"/>
              <w:spacing w:line="276" w:lineRule="auto"/>
              <w:rPr>
                <w:rFonts w:hint="eastAsia" w:ascii="宋体" w:hAnsi="宋体"/>
                <w:spacing w:val="-4"/>
                <w:szCs w:val="21"/>
              </w:rPr>
            </w:pPr>
            <w:r>
              <w:rPr>
                <w:rFonts w:hint="eastAsia" w:ascii="宋体" w:hAnsi="宋体"/>
                <w:spacing w:val="-4"/>
                <w:szCs w:val="21"/>
              </w:rPr>
              <w:t>3.室内石材墙柱面干挂节点图、拉拔试验报告及其材料合格证、检测报告、隐蔽验收记录等</w:t>
            </w:r>
          </w:p>
        </w:tc>
        <w:tc>
          <w:tcPr>
            <w:tcW w:w="2212" w:type="dxa"/>
            <w:tcBorders>
              <w:top w:val="single" w:color="auto" w:sz="4" w:space="0"/>
              <w:left w:val="single" w:color="auto" w:sz="4" w:space="0"/>
              <w:bottom w:val="single" w:color="auto" w:sz="4" w:space="0"/>
              <w:right w:val="single" w:color="auto" w:sz="4" w:space="0"/>
            </w:tcBorders>
            <w:noWrap w:val="0"/>
            <w:vAlign w:val="center"/>
          </w:tcPr>
          <w:p w14:paraId="7E151965">
            <w:pPr>
              <w:pStyle w:val="6"/>
              <w:snapToGrid w:val="0"/>
              <w:spacing w:line="276" w:lineRule="auto"/>
              <w:ind w:firstLine="0" w:firstLineChars="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工程安全证明资料第一项不符合的扣</w:t>
            </w:r>
            <w:r>
              <w:rPr>
                <w:rFonts w:ascii="宋体" w:hAnsi="宋体"/>
                <w:szCs w:val="21"/>
              </w:rPr>
              <w:t>20</w:t>
            </w:r>
            <w:r>
              <w:rPr>
                <w:rFonts w:hint="eastAsia" w:ascii="宋体" w:hAnsi="宋体"/>
                <w:szCs w:val="21"/>
              </w:rPr>
              <w:t>分。</w:t>
            </w:r>
          </w:p>
          <w:p w14:paraId="16EFB832">
            <w:pPr>
              <w:pStyle w:val="6"/>
              <w:snapToGrid w:val="0"/>
              <w:spacing w:line="276" w:lineRule="auto"/>
              <w:ind w:firstLine="0" w:firstLineChars="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其他项不符合的每项扣5-1</w:t>
            </w:r>
            <w:r>
              <w:rPr>
                <w:rFonts w:ascii="宋体" w:hAnsi="宋体"/>
                <w:szCs w:val="21"/>
              </w:rPr>
              <w:t>0</w:t>
            </w:r>
            <w:r>
              <w:rPr>
                <w:rFonts w:hint="eastAsia" w:ascii="宋体" w:hAnsi="宋体"/>
                <w:szCs w:val="21"/>
              </w:rPr>
              <w:t>分。</w:t>
            </w:r>
          </w:p>
        </w:tc>
        <w:tc>
          <w:tcPr>
            <w:tcW w:w="1701" w:type="dxa"/>
            <w:tcBorders>
              <w:left w:val="single" w:color="auto" w:sz="4" w:space="0"/>
              <w:right w:val="single" w:color="auto" w:sz="4" w:space="0"/>
            </w:tcBorders>
            <w:noWrap w:val="0"/>
            <w:vAlign w:val="center"/>
          </w:tcPr>
          <w:p w14:paraId="1FFA542C">
            <w:pPr>
              <w:snapToGrid w:val="0"/>
              <w:spacing w:line="288" w:lineRule="auto"/>
              <w:jc w:val="left"/>
              <w:rPr>
                <w:rFonts w:ascii="宋体" w:hAnsi="宋体"/>
                <w:szCs w:val="21"/>
              </w:rPr>
            </w:pPr>
            <w:r>
              <w:rPr>
                <w:rFonts w:ascii="宋体" w:hAnsi="宋体"/>
                <w:szCs w:val="21"/>
              </w:rPr>
              <w:t>工程安全证明资料是重要资料</w:t>
            </w:r>
          </w:p>
        </w:tc>
        <w:tc>
          <w:tcPr>
            <w:tcW w:w="851" w:type="dxa"/>
            <w:vMerge w:val="continue"/>
            <w:tcBorders>
              <w:left w:val="single" w:color="auto" w:sz="4" w:space="0"/>
              <w:right w:val="single" w:color="auto" w:sz="4" w:space="0"/>
            </w:tcBorders>
            <w:noWrap w:val="0"/>
            <w:vAlign w:val="center"/>
          </w:tcPr>
          <w:p w14:paraId="74093281">
            <w:pPr>
              <w:snapToGrid w:val="0"/>
              <w:spacing w:line="288" w:lineRule="auto"/>
              <w:jc w:val="center"/>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D1B49AD">
            <w:pPr>
              <w:snapToGrid w:val="0"/>
              <w:spacing w:line="276" w:lineRule="auto"/>
              <w:rPr>
                <w:rFonts w:ascii="宋体" w:hAnsi="宋体"/>
                <w:szCs w:val="21"/>
              </w:rPr>
            </w:pPr>
            <w:r>
              <w:rPr>
                <w:rFonts w:hint="eastAsia" w:ascii="宋体" w:hAnsi="宋体"/>
                <w:szCs w:val="21"/>
              </w:rPr>
              <w:t>结合工程实体查相关资料</w:t>
            </w:r>
          </w:p>
        </w:tc>
      </w:tr>
    </w:tbl>
    <w:p w14:paraId="47D005B5">
      <w:pPr>
        <w:snapToGrid w:val="0"/>
        <w:spacing w:line="288" w:lineRule="auto"/>
        <w:rPr>
          <w:rFonts w:hint="eastAsia" w:ascii="宋体" w:hAnsi="宋体"/>
          <w:szCs w:val="21"/>
        </w:rPr>
        <w:sectPr>
          <w:footerReference r:id="rId4" w:type="default"/>
          <w:pgSz w:w="16838" w:h="11906" w:orient="landscape"/>
          <w:pgMar w:top="1440" w:right="1247" w:bottom="1440" w:left="1587" w:header="851" w:footer="992" w:gutter="0"/>
          <w:pgNumType w:fmt="numberInDash"/>
          <w:cols w:space="720" w:num="1"/>
          <w:docGrid w:type="lines" w:linePitch="312" w:charSpace="0"/>
        </w:sectPr>
      </w:pPr>
    </w:p>
    <w:tbl>
      <w:tblPr>
        <w:tblStyle w:val="4"/>
        <w:tblW w:w="14309"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218"/>
        <w:gridCol w:w="5287"/>
        <w:gridCol w:w="2212"/>
        <w:gridCol w:w="1701"/>
        <w:gridCol w:w="851"/>
        <w:gridCol w:w="2268"/>
      </w:tblGrid>
      <w:tr w14:paraId="341B8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tcBorders>
              <w:left w:val="single" w:color="auto" w:sz="4" w:space="0"/>
              <w:bottom w:val="single" w:color="auto" w:sz="4" w:space="0"/>
              <w:right w:val="single" w:color="auto" w:sz="4" w:space="0"/>
            </w:tcBorders>
            <w:noWrap w:val="0"/>
            <w:vAlign w:val="center"/>
          </w:tcPr>
          <w:p w14:paraId="030C3254">
            <w:pPr>
              <w:pStyle w:val="2"/>
              <w:outlineLvl w:val="9"/>
              <w:rPr>
                <w:rFonts w:hint="eastAsia"/>
              </w:rPr>
            </w:pPr>
          </w:p>
        </w:tc>
        <w:tc>
          <w:tcPr>
            <w:tcW w:w="1218" w:type="dxa"/>
            <w:tcBorders>
              <w:left w:val="single" w:color="auto" w:sz="4" w:space="0"/>
              <w:right w:val="single" w:color="auto" w:sz="4" w:space="0"/>
            </w:tcBorders>
            <w:noWrap w:val="0"/>
            <w:vAlign w:val="center"/>
          </w:tcPr>
          <w:p w14:paraId="4E18C8D4">
            <w:pPr>
              <w:snapToGrid w:val="0"/>
              <w:spacing w:line="240" w:lineRule="exact"/>
              <w:jc w:val="center"/>
              <w:rPr>
                <w:rFonts w:ascii="宋体" w:hAnsi="宋体"/>
                <w:szCs w:val="21"/>
              </w:rPr>
            </w:pPr>
          </w:p>
        </w:tc>
        <w:tc>
          <w:tcPr>
            <w:tcW w:w="5287" w:type="dxa"/>
            <w:tcBorders>
              <w:top w:val="single" w:color="auto" w:sz="4" w:space="0"/>
              <w:left w:val="single" w:color="auto" w:sz="4" w:space="0"/>
              <w:bottom w:val="single" w:color="auto" w:sz="4" w:space="0"/>
              <w:right w:val="single" w:color="auto" w:sz="4" w:space="0"/>
            </w:tcBorders>
            <w:noWrap w:val="0"/>
            <w:vAlign w:val="center"/>
          </w:tcPr>
          <w:p w14:paraId="6014E54A">
            <w:pPr>
              <w:snapToGrid w:val="0"/>
              <w:spacing w:line="288" w:lineRule="auto"/>
              <w:rPr>
                <w:rFonts w:ascii="黑体" w:hAnsi="黑体" w:eastAsia="黑体"/>
                <w:szCs w:val="21"/>
              </w:rPr>
            </w:pPr>
            <w:r>
              <w:rPr>
                <w:rFonts w:hint="eastAsia" w:ascii="黑体" w:hAnsi="黑体" w:eastAsia="黑体"/>
                <w:szCs w:val="21"/>
              </w:rPr>
              <w:t>材质证明：</w:t>
            </w:r>
          </w:p>
          <w:p w14:paraId="7E2549D5">
            <w:pPr>
              <w:snapToGrid w:val="0"/>
              <w:spacing w:line="288" w:lineRule="auto"/>
              <w:rPr>
                <w:rFonts w:ascii="宋体" w:hAnsi="宋体"/>
                <w:szCs w:val="21"/>
              </w:rPr>
            </w:pPr>
            <w:r>
              <w:rPr>
                <w:rFonts w:hint="eastAsia" w:ascii="宋体" w:hAnsi="宋体"/>
                <w:szCs w:val="21"/>
              </w:rPr>
              <w:t>主要装饰材料的合格证、检测报告及复试报告，主要包括：</w:t>
            </w:r>
          </w:p>
          <w:p w14:paraId="71394A33">
            <w:pPr>
              <w:snapToGrid w:val="0"/>
              <w:spacing w:line="288" w:lineRule="auto"/>
              <w:rPr>
                <w:rFonts w:ascii="宋体" w:hAnsi="宋体"/>
                <w:szCs w:val="21"/>
              </w:rPr>
            </w:pPr>
            <w:r>
              <w:rPr>
                <w:rFonts w:hint="eastAsia" w:ascii="宋体" w:hAnsi="宋体"/>
                <w:szCs w:val="21"/>
              </w:rPr>
              <w:t>1.花岗石（＞200㎡）放射性复试</w:t>
            </w:r>
          </w:p>
          <w:p w14:paraId="432316AA">
            <w:pPr>
              <w:snapToGrid w:val="0"/>
              <w:spacing w:line="288" w:lineRule="auto"/>
              <w:rPr>
                <w:rFonts w:ascii="宋体" w:hAnsi="宋体"/>
                <w:szCs w:val="21"/>
              </w:rPr>
            </w:pPr>
            <w:r>
              <w:rPr>
                <w:rFonts w:hint="eastAsia" w:ascii="宋体" w:hAnsi="宋体"/>
                <w:szCs w:val="21"/>
              </w:rPr>
              <w:t>2.瓷质砖（＞200㎡）放射性复试</w:t>
            </w:r>
          </w:p>
          <w:p w14:paraId="1DA887B1">
            <w:pPr>
              <w:snapToGrid w:val="0"/>
              <w:spacing w:line="288" w:lineRule="auto"/>
              <w:rPr>
                <w:rFonts w:ascii="宋体" w:hAnsi="宋体"/>
                <w:szCs w:val="21"/>
              </w:rPr>
            </w:pPr>
            <w:r>
              <w:rPr>
                <w:rFonts w:hint="eastAsia" w:ascii="宋体" w:hAnsi="宋体"/>
                <w:szCs w:val="21"/>
              </w:rPr>
              <w:t>3.人造板（＞500㎡）甲醛复试</w:t>
            </w:r>
          </w:p>
          <w:p w14:paraId="78257136">
            <w:pPr>
              <w:snapToGrid w:val="0"/>
              <w:spacing w:line="288" w:lineRule="auto"/>
              <w:rPr>
                <w:rFonts w:ascii="宋体" w:hAnsi="宋体"/>
                <w:szCs w:val="21"/>
              </w:rPr>
            </w:pPr>
            <w:r>
              <w:rPr>
                <w:rFonts w:hint="eastAsia" w:ascii="宋体" w:hAnsi="宋体"/>
                <w:szCs w:val="21"/>
              </w:rPr>
              <w:t>4.安全玻璃强制认证（3C证书）</w:t>
            </w:r>
          </w:p>
          <w:p w14:paraId="20E509FB">
            <w:pPr>
              <w:snapToGrid w:val="0"/>
              <w:spacing w:line="288" w:lineRule="auto"/>
              <w:rPr>
                <w:rFonts w:ascii="宋体" w:hAnsi="宋体"/>
                <w:szCs w:val="21"/>
              </w:rPr>
            </w:pPr>
            <w:r>
              <w:rPr>
                <w:rFonts w:hint="eastAsia" w:ascii="宋体" w:hAnsi="宋体"/>
                <w:szCs w:val="21"/>
              </w:rPr>
              <w:t>5.防水材料复试</w:t>
            </w:r>
          </w:p>
          <w:p w14:paraId="43C1C5AF">
            <w:pPr>
              <w:snapToGrid w:val="0"/>
              <w:spacing w:line="288" w:lineRule="auto"/>
              <w:rPr>
                <w:rFonts w:ascii="宋体" w:hAnsi="宋体"/>
                <w:szCs w:val="21"/>
              </w:rPr>
            </w:pPr>
            <w:r>
              <w:rPr>
                <w:rFonts w:hint="eastAsia" w:ascii="宋体" w:hAnsi="宋体"/>
                <w:szCs w:val="21"/>
              </w:rPr>
              <w:t>6.水性涂料、水性胶粘剂、水性处理剂VOCs、游离甲醛含量检测报告</w:t>
            </w:r>
          </w:p>
          <w:p w14:paraId="55901EA2">
            <w:pPr>
              <w:snapToGrid w:val="0"/>
              <w:spacing w:line="288" w:lineRule="auto"/>
              <w:rPr>
                <w:rFonts w:ascii="宋体" w:hAnsi="宋体"/>
                <w:szCs w:val="21"/>
              </w:rPr>
            </w:pPr>
            <w:r>
              <w:rPr>
                <w:rFonts w:hint="eastAsia" w:ascii="宋体" w:hAnsi="宋体"/>
                <w:szCs w:val="21"/>
              </w:rPr>
              <w:t>7.溶剂型涂料、溶剂型胶粘剂VOCs、苯、TDI检测报告</w:t>
            </w:r>
          </w:p>
          <w:p w14:paraId="1EE99421">
            <w:pPr>
              <w:snapToGrid w:val="0"/>
              <w:spacing w:line="288" w:lineRule="auto"/>
              <w:rPr>
                <w:rFonts w:ascii="宋体" w:hAnsi="宋体"/>
                <w:szCs w:val="21"/>
              </w:rPr>
            </w:pPr>
            <w:r>
              <w:rPr>
                <w:rFonts w:ascii="宋体" w:hAnsi="宋体"/>
                <w:szCs w:val="21"/>
              </w:rPr>
              <w:t>8</w:t>
            </w:r>
            <w:r>
              <w:rPr>
                <w:rFonts w:hint="eastAsia" w:ascii="宋体" w:hAnsi="宋体"/>
                <w:szCs w:val="21"/>
              </w:rPr>
              <w:t>.后置锚栓拉拔试验报告</w:t>
            </w:r>
          </w:p>
          <w:p w14:paraId="50583F62">
            <w:pPr>
              <w:snapToGrid w:val="0"/>
              <w:spacing w:line="288" w:lineRule="auto"/>
              <w:rPr>
                <w:rFonts w:ascii="宋体" w:hAnsi="宋体"/>
                <w:szCs w:val="21"/>
              </w:rPr>
            </w:pPr>
            <w:r>
              <w:rPr>
                <w:rFonts w:ascii="宋体" w:hAnsi="宋体"/>
                <w:szCs w:val="21"/>
              </w:rPr>
              <w:t>9</w:t>
            </w:r>
            <w:r>
              <w:rPr>
                <w:rFonts w:hint="eastAsia" w:ascii="宋体" w:hAnsi="宋体"/>
                <w:szCs w:val="21"/>
              </w:rPr>
              <w:t>.壁布、海绵、岩棉、地毯、木地板、细木工板等材料阻燃复试报告</w:t>
            </w:r>
          </w:p>
          <w:p w14:paraId="3D10CCE4">
            <w:pPr>
              <w:snapToGrid w:val="0"/>
              <w:spacing w:line="288" w:lineRule="auto"/>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.环氧树脂A</w:t>
            </w:r>
            <w:r>
              <w:rPr>
                <w:rFonts w:ascii="宋体" w:hAnsi="宋体"/>
                <w:szCs w:val="21"/>
              </w:rPr>
              <w:t>B</w:t>
            </w:r>
            <w:r>
              <w:rPr>
                <w:rFonts w:hint="eastAsia" w:ascii="宋体" w:hAnsi="宋体"/>
                <w:szCs w:val="21"/>
              </w:rPr>
              <w:t>胶力学性能复试报告</w:t>
            </w:r>
          </w:p>
        </w:tc>
        <w:tc>
          <w:tcPr>
            <w:tcW w:w="2212" w:type="dxa"/>
            <w:tcBorders>
              <w:top w:val="single" w:color="auto" w:sz="4" w:space="0"/>
              <w:left w:val="single" w:color="auto" w:sz="4" w:space="0"/>
              <w:bottom w:val="single" w:color="auto" w:sz="4" w:space="0"/>
              <w:right w:val="single" w:color="auto" w:sz="4" w:space="0"/>
            </w:tcBorders>
            <w:noWrap w:val="0"/>
            <w:vAlign w:val="center"/>
          </w:tcPr>
          <w:p w14:paraId="111E4578">
            <w:pPr>
              <w:pStyle w:val="6"/>
              <w:snapToGrid w:val="0"/>
              <w:spacing w:line="288" w:lineRule="auto"/>
              <w:ind w:firstLine="0" w:firstLineChars="0"/>
              <w:rPr>
                <w:rFonts w:ascii="宋体" w:hAnsi="宋体"/>
                <w:szCs w:val="21"/>
              </w:rPr>
            </w:pPr>
            <w:r>
              <w:rPr>
                <w:rFonts w:hint="eastAsia" w:ascii="宋体" w:hAnsi="宋体"/>
                <w:szCs w:val="21"/>
              </w:rPr>
              <w:t>1</w:t>
            </w:r>
            <w:r>
              <w:rPr>
                <w:rFonts w:ascii="宋体" w:hAnsi="宋体"/>
                <w:szCs w:val="21"/>
              </w:rPr>
              <w:t>.一般性缺项每项扣</w:t>
            </w:r>
            <w:r>
              <w:rPr>
                <w:rFonts w:hint="eastAsia" w:ascii="宋体" w:hAnsi="宋体"/>
                <w:szCs w:val="21"/>
              </w:rPr>
              <w:t>0.1-</w:t>
            </w:r>
            <w:r>
              <w:rPr>
                <w:rFonts w:ascii="宋体" w:hAnsi="宋体"/>
                <w:szCs w:val="21"/>
              </w:rPr>
              <w:t>0.2</w:t>
            </w:r>
            <w:r>
              <w:rPr>
                <w:rFonts w:hint="eastAsia" w:ascii="宋体" w:hAnsi="宋体"/>
                <w:szCs w:val="21"/>
              </w:rPr>
              <w:t>分；</w:t>
            </w:r>
          </w:p>
          <w:p w14:paraId="316ED4FE">
            <w:pPr>
              <w:pStyle w:val="6"/>
              <w:snapToGrid w:val="0"/>
              <w:spacing w:line="288" w:lineRule="auto"/>
              <w:ind w:firstLine="0" w:firstLineChars="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重点缺项每项扣0.2-</w:t>
            </w:r>
            <w:r>
              <w:rPr>
                <w:rFonts w:ascii="宋体" w:hAnsi="宋体"/>
                <w:szCs w:val="21"/>
              </w:rPr>
              <w:t>0.5</w:t>
            </w:r>
            <w:r>
              <w:rPr>
                <w:rFonts w:hint="eastAsia" w:ascii="宋体" w:hAnsi="宋体"/>
                <w:szCs w:val="21"/>
              </w:rPr>
              <w:t>分。</w:t>
            </w:r>
          </w:p>
        </w:tc>
        <w:tc>
          <w:tcPr>
            <w:tcW w:w="1701" w:type="dxa"/>
            <w:tcBorders>
              <w:left w:val="single" w:color="auto" w:sz="4" w:space="0"/>
              <w:right w:val="single" w:color="auto" w:sz="4" w:space="0"/>
            </w:tcBorders>
            <w:noWrap w:val="0"/>
            <w:vAlign w:val="center"/>
          </w:tcPr>
          <w:p w14:paraId="68BBE437">
            <w:pPr>
              <w:snapToGrid w:val="0"/>
              <w:spacing w:line="288" w:lineRule="auto"/>
              <w:jc w:val="center"/>
              <w:rPr>
                <w:rFonts w:ascii="宋体" w:hAnsi="宋体"/>
                <w:szCs w:val="21"/>
              </w:rPr>
            </w:pPr>
          </w:p>
        </w:tc>
        <w:tc>
          <w:tcPr>
            <w:tcW w:w="851" w:type="dxa"/>
            <w:tcBorders>
              <w:left w:val="single" w:color="auto" w:sz="4" w:space="0"/>
              <w:right w:val="single" w:color="auto" w:sz="4" w:space="0"/>
            </w:tcBorders>
            <w:noWrap w:val="0"/>
            <w:vAlign w:val="center"/>
          </w:tcPr>
          <w:p w14:paraId="33B8BAFF">
            <w:pPr>
              <w:snapToGrid w:val="0"/>
              <w:spacing w:line="288" w:lineRule="auto"/>
              <w:jc w:val="center"/>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A1E5E53">
            <w:pPr>
              <w:snapToGrid w:val="0"/>
              <w:spacing w:line="288" w:lineRule="auto"/>
              <w:rPr>
                <w:rFonts w:ascii="宋体" w:hAnsi="宋体"/>
                <w:szCs w:val="21"/>
              </w:rPr>
            </w:pPr>
            <w:r>
              <w:rPr>
                <w:rFonts w:hint="eastAsia" w:ascii="宋体" w:hAnsi="宋体"/>
                <w:szCs w:val="21"/>
              </w:rPr>
              <w:t>结合工程实体查相关资料</w:t>
            </w:r>
          </w:p>
        </w:tc>
      </w:tr>
    </w:tbl>
    <w:p w14:paraId="4981B5B8">
      <w:pPr>
        <w:snapToGrid w:val="0"/>
        <w:spacing w:line="288" w:lineRule="auto"/>
        <w:rPr>
          <w:rFonts w:hint="eastAsia" w:ascii="宋体" w:hAnsi="宋体"/>
          <w:szCs w:val="21"/>
        </w:rPr>
        <w:sectPr>
          <w:footerReference r:id="rId5" w:type="default"/>
          <w:pgSz w:w="16838" w:h="11906" w:orient="landscape"/>
          <w:pgMar w:top="1440" w:right="1247" w:bottom="1440" w:left="1587" w:header="851" w:footer="992" w:gutter="0"/>
          <w:pgNumType w:fmt="numberInDash"/>
          <w:cols w:space="720" w:num="1"/>
          <w:docGrid w:type="lines" w:linePitch="312" w:charSpace="0"/>
        </w:sectPr>
      </w:pPr>
    </w:p>
    <w:tbl>
      <w:tblPr>
        <w:tblStyle w:val="4"/>
        <w:tblW w:w="14309"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218"/>
        <w:gridCol w:w="5287"/>
        <w:gridCol w:w="2212"/>
        <w:gridCol w:w="1701"/>
        <w:gridCol w:w="851"/>
        <w:gridCol w:w="2268"/>
      </w:tblGrid>
      <w:tr w14:paraId="2785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772" w:type="dxa"/>
            <w:vMerge w:val="restart"/>
            <w:tcBorders>
              <w:top w:val="single" w:color="auto" w:sz="4" w:space="0"/>
              <w:left w:val="single" w:color="auto" w:sz="4" w:space="0"/>
              <w:right w:val="single" w:color="auto" w:sz="4" w:space="0"/>
            </w:tcBorders>
            <w:noWrap w:val="0"/>
            <w:vAlign w:val="center"/>
          </w:tcPr>
          <w:p w14:paraId="19F20B64">
            <w:pPr>
              <w:snapToGrid w:val="0"/>
              <w:spacing w:line="288" w:lineRule="auto"/>
              <w:rPr>
                <w:rFonts w:ascii="宋体" w:hAnsi="宋体"/>
                <w:szCs w:val="21"/>
              </w:rPr>
            </w:pPr>
          </w:p>
        </w:tc>
        <w:tc>
          <w:tcPr>
            <w:tcW w:w="1218" w:type="dxa"/>
            <w:vMerge w:val="restart"/>
            <w:tcBorders>
              <w:left w:val="single" w:color="auto" w:sz="4" w:space="0"/>
              <w:right w:val="single" w:color="auto" w:sz="4" w:space="0"/>
            </w:tcBorders>
            <w:noWrap w:val="0"/>
            <w:vAlign w:val="center"/>
          </w:tcPr>
          <w:p w14:paraId="48595C50">
            <w:pPr>
              <w:snapToGrid w:val="0"/>
              <w:spacing w:line="240" w:lineRule="exact"/>
              <w:jc w:val="center"/>
              <w:rPr>
                <w:rFonts w:ascii="宋体" w:hAnsi="宋体"/>
                <w:szCs w:val="21"/>
              </w:rPr>
            </w:pPr>
          </w:p>
        </w:tc>
        <w:tc>
          <w:tcPr>
            <w:tcW w:w="5287" w:type="dxa"/>
            <w:tcBorders>
              <w:top w:val="single" w:color="auto" w:sz="4" w:space="0"/>
              <w:left w:val="single" w:color="auto" w:sz="4" w:space="0"/>
              <w:bottom w:val="single" w:color="auto" w:sz="4" w:space="0"/>
              <w:right w:val="single" w:color="auto" w:sz="4" w:space="0"/>
            </w:tcBorders>
            <w:noWrap w:val="0"/>
            <w:vAlign w:val="center"/>
          </w:tcPr>
          <w:p w14:paraId="054CD774">
            <w:pPr>
              <w:snapToGrid w:val="0"/>
              <w:spacing w:line="276" w:lineRule="auto"/>
              <w:jc w:val="center"/>
              <w:rPr>
                <w:rFonts w:ascii="黑体" w:hAnsi="黑体" w:eastAsia="黑体"/>
                <w:szCs w:val="21"/>
              </w:rPr>
            </w:pPr>
            <w:r>
              <w:rPr>
                <w:rFonts w:hint="eastAsia" w:ascii="黑体" w:hAnsi="黑体" w:eastAsia="黑体"/>
                <w:szCs w:val="21"/>
              </w:rPr>
              <w:t>施工组织设计及危险性较大分部分项工程论证报告：</w:t>
            </w:r>
          </w:p>
          <w:p w14:paraId="6D11BFC6">
            <w:pPr>
              <w:spacing w:line="276" w:lineRule="auto"/>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施工组织设计</w:t>
            </w:r>
          </w:p>
          <w:p w14:paraId="0E3A78C4">
            <w:pPr>
              <w:spacing w:line="276"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与工程相关的专项方案</w:t>
            </w:r>
          </w:p>
          <w:p w14:paraId="5FEFA3A7">
            <w:pPr>
              <w:pStyle w:val="6"/>
              <w:snapToGrid w:val="0"/>
              <w:spacing w:line="276" w:lineRule="auto"/>
              <w:ind w:firstLine="0" w:firstLineChars="0"/>
              <w:rPr>
                <w:rFonts w:ascii="宋体" w:hAnsi="宋体"/>
                <w:szCs w:val="21"/>
              </w:rPr>
            </w:pPr>
            <w:r>
              <w:rPr>
                <w:rFonts w:ascii="宋体" w:hAnsi="宋体"/>
                <w:szCs w:val="21"/>
              </w:rPr>
              <w:t>3</w:t>
            </w:r>
            <w:r>
              <w:rPr>
                <w:rFonts w:hint="eastAsia" w:ascii="宋体" w:hAnsi="宋体"/>
                <w:szCs w:val="21"/>
              </w:rPr>
              <w:t>.危险性较大分部分项工程论证报告</w:t>
            </w:r>
          </w:p>
        </w:tc>
        <w:tc>
          <w:tcPr>
            <w:tcW w:w="2212" w:type="dxa"/>
            <w:tcBorders>
              <w:top w:val="single" w:color="auto" w:sz="4" w:space="0"/>
              <w:left w:val="single" w:color="auto" w:sz="4" w:space="0"/>
              <w:bottom w:val="single" w:color="auto" w:sz="4" w:space="0"/>
              <w:right w:val="single" w:color="auto" w:sz="4" w:space="0"/>
            </w:tcBorders>
            <w:noWrap w:val="0"/>
            <w:vAlign w:val="center"/>
          </w:tcPr>
          <w:p w14:paraId="2D886D41">
            <w:pPr>
              <w:pStyle w:val="6"/>
              <w:snapToGrid w:val="0"/>
              <w:spacing w:line="288" w:lineRule="auto"/>
              <w:ind w:firstLine="0" w:firstLineChars="0"/>
              <w:rPr>
                <w:rFonts w:ascii="宋体" w:hAnsi="宋体"/>
                <w:szCs w:val="21"/>
              </w:rPr>
            </w:pPr>
            <w:r>
              <w:rPr>
                <w:rFonts w:hint="eastAsia" w:ascii="宋体" w:hAnsi="宋体"/>
                <w:szCs w:val="21"/>
              </w:rPr>
              <w:t>1</w:t>
            </w:r>
            <w:r>
              <w:rPr>
                <w:rFonts w:ascii="宋体" w:hAnsi="宋体"/>
                <w:szCs w:val="21"/>
              </w:rPr>
              <w:t>.一般性</w:t>
            </w:r>
            <w:r>
              <w:rPr>
                <w:rFonts w:hint="eastAsia" w:ascii="宋体" w:hAnsi="宋体"/>
                <w:szCs w:val="21"/>
              </w:rPr>
              <w:t>缺</w:t>
            </w:r>
            <w:r>
              <w:rPr>
                <w:rFonts w:ascii="宋体" w:hAnsi="宋体"/>
                <w:szCs w:val="21"/>
              </w:rPr>
              <w:t>项每项扣</w:t>
            </w:r>
            <w:r>
              <w:rPr>
                <w:rFonts w:hint="eastAsia" w:ascii="宋体" w:hAnsi="宋体"/>
                <w:szCs w:val="21"/>
              </w:rPr>
              <w:t>0.1-</w:t>
            </w:r>
            <w:r>
              <w:rPr>
                <w:rFonts w:ascii="宋体" w:hAnsi="宋体"/>
                <w:szCs w:val="21"/>
              </w:rPr>
              <w:t>0.2</w:t>
            </w:r>
            <w:r>
              <w:rPr>
                <w:rFonts w:hint="eastAsia" w:ascii="宋体" w:hAnsi="宋体"/>
                <w:szCs w:val="21"/>
              </w:rPr>
              <w:t>分；</w:t>
            </w:r>
          </w:p>
          <w:p w14:paraId="28E7EA23">
            <w:pPr>
              <w:pStyle w:val="6"/>
              <w:snapToGrid w:val="0"/>
              <w:spacing w:line="288" w:lineRule="auto"/>
              <w:ind w:firstLine="0" w:firstLineChars="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重点缺项</w:t>
            </w:r>
            <w:r>
              <w:rPr>
                <w:rFonts w:ascii="宋体" w:hAnsi="宋体"/>
                <w:szCs w:val="21"/>
              </w:rPr>
              <w:t>每项</w:t>
            </w:r>
            <w:r>
              <w:rPr>
                <w:rFonts w:hint="eastAsia" w:ascii="宋体" w:hAnsi="宋体"/>
                <w:szCs w:val="21"/>
              </w:rPr>
              <w:t>扣0.2-</w:t>
            </w:r>
            <w:r>
              <w:rPr>
                <w:rFonts w:ascii="宋体" w:hAnsi="宋体"/>
                <w:szCs w:val="21"/>
              </w:rPr>
              <w:t>0.5</w:t>
            </w:r>
            <w:r>
              <w:rPr>
                <w:rFonts w:hint="eastAsia" w:ascii="宋体" w:hAnsi="宋体"/>
                <w:szCs w:val="21"/>
              </w:rPr>
              <w:t>分。</w:t>
            </w:r>
          </w:p>
        </w:tc>
        <w:tc>
          <w:tcPr>
            <w:tcW w:w="1701" w:type="dxa"/>
            <w:tcBorders>
              <w:left w:val="single" w:color="auto" w:sz="4" w:space="0"/>
              <w:right w:val="single" w:color="auto" w:sz="4" w:space="0"/>
            </w:tcBorders>
            <w:noWrap w:val="0"/>
            <w:vAlign w:val="center"/>
          </w:tcPr>
          <w:p w14:paraId="6EB0D00D">
            <w:pPr>
              <w:snapToGrid w:val="0"/>
              <w:spacing w:line="288" w:lineRule="auto"/>
              <w:ind w:left="260" w:hanging="260" w:hangingChars="124"/>
              <w:jc w:val="center"/>
              <w:rPr>
                <w:rFonts w:ascii="宋体" w:hAnsi="宋体"/>
                <w:szCs w:val="21"/>
              </w:rPr>
            </w:pPr>
          </w:p>
        </w:tc>
        <w:tc>
          <w:tcPr>
            <w:tcW w:w="851" w:type="dxa"/>
            <w:vMerge w:val="restart"/>
            <w:tcBorders>
              <w:left w:val="single" w:color="auto" w:sz="4" w:space="0"/>
              <w:right w:val="single" w:color="auto" w:sz="4" w:space="0"/>
            </w:tcBorders>
            <w:noWrap w:val="0"/>
            <w:vAlign w:val="center"/>
          </w:tcPr>
          <w:p w14:paraId="1786B594">
            <w:pPr>
              <w:snapToGrid w:val="0"/>
              <w:spacing w:line="288" w:lineRule="auto"/>
              <w:jc w:val="center"/>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4E029C7">
            <w:pPr>
              <w:snapToGrid w:val="0"/>
              <w:spacing w:line="288" w:lineRule="auto"/>
              <w:rPr>
                <w:rFonts w:ascii="宋体" w:hAnsi="宋体"/>
                <w:szCs w:val="21"/>
              </w:rPr>
            </w:pPr>
            <w:r>
              <w:rPr>
                <w:rFonts w:hint="eastAsia" w:ascii="宋体" w:hAnsi="宋体"/>
                <w:szCs w:val="21"/>
              </w:rPr>
              <w:t>结合工程实体查相关资料</w:t>
            </w:r>
          </w:p>
        </w:tc>
      </w:tr>
      <w:tr w14:paraId="79C3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rPr>
        <w:tc>
          <w:tcPr>
            <w:tcW w:w="772" w:type="dxa"/>
            <w:vMerge w:val="continue"/>
            <w:tcBorders>
              <w:left w:val="single" w:color="auto" w:sz="4" w:space="0"/>
              <w:right w:val="single" w:color="auto" w:sz="4" w:space="0"/>
            </w:tcBorders>
            <w:noWrap w:val="0"/>
            <w:vAlign w:val="center"/>
          </w:tcPr>
          <w:p w14:paraId="0E670637">
            <w:pPr>
              <w:snapToGrid w:val="0"/>
              <w:spacing w:line="288" w:lineRule="auto"/>
              <w:jc w:val="center"/>
              <w:rPr>
                <w:rFonts w:ascii="宋体" w:hAnsi="宋体"/>
                <w:szCs w:val="21"/>
              </w:rPr>
            </w:pPr>
          </w:p>
        </w:tc>
        <w:tc>
          <w:tcPr>
            <w:tcW w:w="1218" w:type="dxa"/>
            <w:vMerge w:val="continue"/>
            <w:tcBorders>
              <w:left w:val="single" w:color="auto" w:sz="4" w:space="0"/>
              <w:right w:val="single" w:color="auto" w:sz="4" w:space="0"/>
            </w:tcBorders>
            <w:noWrap w:val="0"/>
            <w:vAlign w:val="center"/>
          </w:tcPr>
          <w:p w14:paraId="02354039">
            <w:pPr>
              <w:snapToGrid w:val="0"/>
              <w:spacing w:line="240" w:lineRule="exact"/>
              <w:jc w:val="center"/>
              <w:rPr>
                <w:rFonts w:ascii="宋体" w:hAnsi="宋体"/>
                <w:szCs w:val="21"/>
              </w:rPr>
            </w:pPr>
          </w:p>
        </w:tc>
        <w:tc>
          <w:tcPr>
            <w:tcW w:w="5287" w:type="dxa"/>
            <w:tcBorders>
              <w:top w:val="single" w:color="auto" w:sz="4" w:space="0"/>
              <w:left w:val="single" w:color="auto" w:sz="4" w:space="0"/>
              <w:bottom w:val="single" w:color="auto" w:sz="4" w:space="0"/>
              <w:right w:val="single" w:color="auto" w:sz="4" w:space="0"/>
            </w:tcBorders>
            <w:noWrap w:val="0"/>
            <w:vAlign w:val="center"/>
          </w:tcPr>
          <w:p w14:paraId="1650CCF6">
            <w:pPr>
              <w:snapToGrid w:val="0"/>
              <w:spacing w:line="276" w:lineRule="auto"/>
              <w:jc w:val="left"/>
              <w:rPr>
                <w:rFonts w:ascii="黑体" w:hAnsi="黑体" w:eastAsia="黑体"/>
                <w:szCs w:val="21"/>
              </w:rPr>
            </w:pPr>
            <w:r>
              <w:rPr>
                <w:rFonts w:hint="eastAsia" w:ascii="黑体" w:hAnsi="黑体" w:eastAsia="黑体"/>
                <w:szCs w:val="21"/>
              </w:rPr>
              <w:t>技术交底：</w:t>
            </w:r>
          </w:p>
          <w:p w14:paraId="0AB59F9F">
            <w:pPr>
              <w:snapToGrid w:val="0"/>
              <w:spacing w:line="276" w:lineRule="auto"/>
              <w:rPr>
                <w:rFonts w:ascii="宋体" w:hAnsi="宋体"/>
                <w:szCs w:val="21"/>
              </w:rPr>
            </w:pPr>
            <w:r>
              <w:rPr>
                <w:rFonts w:hint="eastAsia" w:ascii="宋体" w:hAnsi="宋体"/>
                <w:szCs w:val="21"/>
              </w:rPr>
              <w:t>技术交底内容、交底人和被交底人签字、日期是否齐全，重点包括：</w:t>
            </w:r>
          </w:p>
          <w:p w14:paraId="5CD39BC4">
            <w:pPr>
              <w:snapToGrid w:val="0"/>
              <w:spacing w:line="276" w:lineRule="auto"/>
              <w:rPr>
                <w:rFonts w:ascii="宋体" w:hAnsi="宋体"/>
                <w:szCs w:val="21"/>
              </w:rPr>
            </w:pPr>
            <w:r>
              <w:rPr>
                <w:rFonts w:hint="eastAsia" w:ascii="宋体" w:hAnsi="宋体"/>
                <w:szCs w:val="21"/>
              </w:rPr>
              <w:t>1.干挂石材</w:t>
            </w:r>
          </w:p>
          <w:p w14:paraId="46152BCF">
            <w:pPr>
              <w:snapToGrid w:val="0"/>
              <w:spacing w:line="276" w:lineRule="auto"/>
              <w:rPr>
                <w:rFonts w:ascii="宋体" w:hAnsi="宋体"/>
                <w:szCs w:val="21"/>
              </w:rPr>
            </w:pPr>
            <w:r>
              <w:rPr>
                <w:rFonts w:hint="eastAsia" w:ascii="宋体" w:hAnsi="宋体"/>
                <w:szCs w:val="21"/>
              </w:rPr>
              <w:t>2.干挂瓷砖</w:t>
            </w:r>
          </w:p>
          <w:p w14:paraId="3EF64A5F">
            <w:pPr>
              <w:snapToGrid w:val="0"/>
              <w:spacing w:line="276" w:lineRule="auto"/>
              <w:rPr>
                <w:rFonts w:ascii="宋体" w:hAnsi="宋体"/>
                <w:szCs w:val="21"/>
              </w:rPr>
            </w:pPr>
            <w:r>
              <w:rPr>
                <w:rFonts w:hint="eastAsia" w:ascii="宋体" w:hAnsi="宋体"/>
                <w:szCs w:val="21"/>
              </w:rPr>
              <w:t>3.过顶石</w:t>
            </w:r>
          </w:p>
          <w:p w14:paraId="183915B9">
            <w:pPr>
              <w:snapToGrid w:val="0"/>
              <w:spacing w:line="276" w:lineRule="auto"/>
              <w:rPr>
                <w:rFonts w:ascii="宋体" w:hAnsi="宋体"/>
                <w:szCs w:val="21"/>
              </w:rPr>
            </w:pPr>
            <w:r>
              <w:rPr>
                <w:rFonts w:hint="eastAsia" w:ascii="宋体" w:hAnsi="宋体"/>
                <w:szCs w:val="21"/>
              </w:rPr>
              <w:t>4.镜面顶</w:t>
            </w:r>
          </w:p>
          <w:p w14:paraId="03B80B47">
            <w:pPr>
              <w:snapToGrid w:val="0"/>
              <w:spacing w:line="276" w:lineRule="auto"/>
              <w:rPr>
                <w:rFonts w:ascii="宋体" w:hAnsi="宋体"/>
                <w:szCs w:val="21"/>
              </w:rPr>
            </w:pPr>
            <w:r>
              <w:rPr>
                <w:rFonts w:hint="eastAsia" w:ascii="宋体" w:hAnsi="宋体"/>
                <w:szCs w:val="21"/>
              </w:rPr>
              <w:t>5.玻璃顶</w:t>
            </w:r>
          </w:p>
          <w:p w14:paraId="647F819A">
            <w:pPr>
              <w:snapToGrid w:val="0"/>
              <w:spacing w:line="276" w:lineRule="auto"/>
              <w:rPr>
                <w:rFonts w:ascii="宋体" w:hAnsi="宋体"/>
                <w:szCs w:val="21"/>
              </w:rPr>
            </w:pPr>
            <w:r>
              <w:rPr>
                <w:rFonts w:hint="eastAsia" w:ascii="宋体" w:hAnsi="宋体"/>
                <w:szCs w:val="21"/>
              </w:rPr>
              <w:t>6.栏杆</w:t>
            </w:r>
          </w:p>
          <w:p w14:paraId="6B63496B">
            <w:pPr>
              <w:snapToGrid w:val="0"/>
              <w:spacing w:line="276" w:lineRule="auto"/>
              <w:rPr>
                <w:rFonts w:ascii="宋体" w:hAnsi="宋体"/>
                <w:szCs w:val="21"/>
              </w:rPr>
            </w:pPr>
            <w:r>
              <w:rPr>
                <w:rFonts w:hint="eastAsia" w:ascii="宋体" w:hAnsi="宋体"/>
                <w:szCs w:val="21"/>
              </w:rPr>
              <w:t>7.玻璃护栏</w:t>
            </w:r>
          </w:p>
          <w:p w14:paraId="53C51615">
            <w:pPr>
              <w:snapToGrid w:val="0"/>
              <w:spacing w:line="276" w:lineRule="auto"/>
              <w:rPr>
                <w:rFonts w:ascii="宋体" w:hAnsi="宋体"/>
                <w:szCs w:val="21"/>
              </w:rPr>
            </w:pPr>
            <w:r>
              <w:rPr>
                <w:rFonts w:hint="eastAsia" w:ascii="宋体" w:hAnsi="宋体"/>
                <w:szCs w:val="21"/>
              </w:rPr>
              <w:t>8</w:t>
            </w:r>
            <w:r>
              <w:rPr>
                <w:rFonts w:ascii="宋体" w:hAnsi="宋体"/>
                <w:szCs w:val="21"/>
              </w:rPr>
              <w:t>.</w:t>
            </w:r>
            <w:r>
              <w:rPr>
                <w:rFonts w:hint="eastAsia" w:ascii="宋体" w:hAnsi="宋体"/>
                <w:szCs w:val="21"/>
              </w:rPr>
              <w:t>大型灯具安装</w:t>
            </w:r>
          </w:p>
        </w:tc>
        <w:tc>
          <w:tcPr>
            <w:tcW w:w="2212" w:type="dxa"/>
            <w:tcBorders>
              <w:top w:val="single" w:color="auto" w:sz="4" w:space="0"/>
              <w:left w:val="single" w:color="auto" w:sz="4" w:space="0"/>
              <w:bottom w:val="single" w:color="auto" w:sz="4" w:space="0"/>
              <w:right w:val="single" w:color="auto" w:sz="4" w:space="0"/>
            </w:tcBorders>
            <w:noWrap w:val="0"/>
            <w:vAlign w:val="center"/>
          </w:tcPr>
          <w:p w14:paraId="3FDCDA9D">
            <w:pPr>
              <w:pStyle w:val="6"/>
              <w:snapToGrid w:val="0"/>
              <w:spacing w:line="288" w:lineRule="auto"/>
              <w:ind w:firstLine="0" w:firstLineChars="0"/>
              <w:rPr>
                <w:rFonts w:ascii="宋体" w:hAnsi="宋体"/>
                <w:szCs w:val="21"/>
              </w:rPr>
            </w:pPr>
            <w:r>
              <w:rPr>
                <w:rFonts w:hint="eastAsia" w:ascii="宋体" w:hAnsi="宋体"/>
                <w:szCs w:val="21"/>
              </w:rPr>
              <w:t>1</w:t>
            </w:r>
            <w:r>
              <w:rPr>
                <w:rFonts w:ascii="宋体" w:hAnsi="宋体"/>
                <w:szCs w:val="21"/>
              </w:rPr>
              <w:t>.一般性</w:t>
            </w:r>
            <w:r>
              <w:rPr>
                <w:rFonts w:hint="eastAsia" w:ascii="宋体" w:hAnsi="宋体"/>
                <w:szCs w:val="21"/>
              </w:rPr>
              <w:t>缺</w:t>
            </w:r>
            <w:r>
              <w:rPr>
                <w:rFonts w:ascii="宋体" w:hAnsi="宋体"/>
                <w:szCs w:val="21"/>
              </w:rPr>
              <w:t>项每项扣</w:t>
            </w:r>
            <w:r>
              <w:rPr>
                <w:rFonts w:hint="eastAsia" w:ascii="宋体" w:hAnsi="宋体"/>
                <w:szCs w:val="21"/>
              </w:rPr>
              <w:t>0.1-</w:t>
            </w:r>
            <w:r>
              <w:rPr>
                <w:rFonts w:ascii="宋体" w:hAnsi="宋体"/>
                <w:szCs w:val="21"/>
              </w:rPr>
              <w:t>0.2</w:t>
            </w:r>
            <w:r>
              <w:rPr>
                <w:rFonts w:hint="eastAsia" w:ascii="宋体" w:hAnsi="宋体"/>
                <w:szCs w:val="21"/>
              </w:rPr>
              <w:t>分；</w:t>
            </w:r>
          </w:p>
          <w:p w14:paraId="61AA7653">
            <w:pPr>
              <w:pStyle w:val="6"/>
              <w:snapToGrid w:val="0"/>
              <w:spacing w:line="288" w:lineRule="auto"/>
              <w:ind w:firstLine="0" w:firstLineChars="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重点缺项</w:t>
            </w:r>
            <w:r>
              <w:rPr>
                <w:rFonts w:ascii="宋体" w:hAnsi="宋体"/>
                <w:szCs w:val="21"/>
              </w:rPr>
              <w:t>每项</w:t>
            </w:r>
            <w:r>
              <w:rPr>
                <w:rFonts w:hint="eastAsia" w:ascii="宋体" w:hAnsi="宋体"/>
                <w:szCs w:val="21"/>
              </w:rPr>
              <w:t>扣0.2-</w:t>
            </w:r>
            <w:r>
              <w:rPr>
                <w:rFonts w:ascii="宋体" w:hAnsi="宋体"/>
                <w:szCs w:val="21"/>
              </w:rPr>
              <w:t>0.5</w:t>
            </w:r>
            <w:r>
              <w:rPr>
                <w:rFonts w:hint="eastAsia" w:ascii="宋体" w:hAnsi="宋体"/>
                <w:szCs w:val="21"/>
              </w:rPr>
              <w:t>分。</w:t>
            </w:r>
          </w:p>
        </w:tc>
        <w:tc>
          <w:tcPr>
            <w:tcW w:w="1701" w:type="dxa"/>
            <w:tcBorders>
              <w:left w:val="single" w:color="auto" w:sz="4" w:space="0"/>
              <w:right w:val="single" w:color="auto" w:sz="4" w:space="0"/>
            </w:tcBorders>
            <w:noWrap w:val="0"/>
            <w:vAlign w:val="center"/>
          </w:tcPr>
          <w:p w14:paraId="2F5C95C5">
            <w:pPr>
              <w:snapToGrid w:val="0"/>
              <w:spacing w:line="288" w:lineRule="auto"/>
              <w:jc w:val="center"/>
              <w:rPr>
                <w:rFonts w:ascii="宋体" w:hAnsi="宋体"/>
                <w:szCs w:val="21"/>
              </w:rPr>
            </w:pPr>
          </w:p>
        </w:tc>
        <w:tc>
          <w:tcPr>
            <w:tcW w:w="851" w:type="dxa"/>
            <w:vMerge w:val="continue"/>
            <w:tcBorders>
              <w:left w:val="single" w:color="auto" w:sz="4" w:space="0"/>
              <w:right w:val="single" w:color="auto" w:sz="4" w:space="0"/>
            </w:tcBorders>
            <w:noWrap w:val="0"/>
            <w:vAlign w:val="center"/>
          </w:tcPr>
          <w:p w14:paraId="0A723DDE">
            <w:pPr>
              <w:snapToGrid w:val="0"/>
              <w:spacing w:line="288" w:lineRule="auto"/>
              <w:jc w:val="center"/>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F660AB6">
            <w:pPr>
              <w:snapToGrid w:val="0"/>
              <w:spacing w:line="288" w:lineRule="auto"/>
              <w:rPr>
                <w:rFonts w:ascii="宋体" w:hAnsi="宋体"/>
                <w:szCs w:val="21"/>
              </w:rPr>
            </w:pPr>
            <w:r>
              <w:rPr>
                <w:rFonts w:hint="eastAsia" w:ascii="宋体" w:hAnsi="宋体"/>
                <w:szCs w:val="21"/>
              </w:rPr>
              <w:t>结合工程实体查相关资料</w:t>
            </w:r>
          </w:p>
        </w:tc>
      </w:tr>
    </w:tbl>
    <w:p w14:paraId="428533B7">
      <w:pPr>
        <w:snapToGrid w:val="0"/>
        <w:spacing w:line="288" w:lineRule="auto"/>
        <w:jc w:val="center"/>
        <w:rPr>
          <w:rFonts w:ascii="宋体" w:hAnsi="宋体"/>
          <w:szCs w:val="21"/>
        </w:rPr>
        <w:sectPr>
          <w:footerReference r:id="rId6" w:type="default"/>
          <w:pgSz w:w="16838" w:h="11906" w:orient="landscape"/>
          <w:pgMar w:top="1440" w:right="1247" w:bottom="1440" w:left="1587" w:header="851" w:footer="992" w:gutter="0"/>
          <w:pgNumType w:fmt="numberInDash"/>
          <w:cols w:space="720" w:num="1"/>
          <w:docGrid w:type="lines" w:linePitch="312" w:charSpace="0"/>
        </w:sectPr>
      </w:pPr>
    </w:p>
    <w:tbl>
      <w:tblPr>
        <w:tblStyle w:val="4"/>
        <w:tblW w:w="14309"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218"/>
        <w:gridCol w:w="5287"/>
        <w:gridCol w:w="2212"/>
        <w:gridCol w:w="1701"/>
        <w:gridCol w:w="851"/>
        <w:gridCol w:w="2268"/>
      </w:tblGrid>
      <w:tr w14:paraId="45CF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trPr>
        <w:tc>
          <w:tcPr>
            <w:tcW w:w="772" w:type="dxa"/>
            <w:vMerge w:val="restart"/>
            <w:tcBorders>
              <w:left w:val="single" w:color="auto" w:sz="4" w:space="0"/>
              <w:right w:val="single" w:color="auto" w:sz="4" w:space="0"/>
            </w:tcBorders>
            <w:noWrap w:val="0"/>
            <w:vAlign w:val="center"/>
          </w:tcPr>
          <w:p w14:paraId="6C26AB45">
            <w:pPr>
              <w:pStyle w:val="2"/>
              <w:outlineLvl w:val="9"/>
            </w:pPr>
          </w:p>
        </w:tc>
        <w:tc>
          <w:tcPr>
            <w:tcW w:w="1218" w:type="dxa"/>
            <w:vMerge w:val="restart"/>
            <w:tcBorders>
              <w:left w:val="single" w:color="auto" w:sz="4" w:space="0"/>
              <w:right w:val="single" w:color="auto" w:sz="4" w:space="0"/>
            </w:tcBorders>
            <w:noWrap w:val="0"/>
            <w:vAlign w:val="center"/>
          </w:tcPr>
          <w:p w14:paraId="10E196A5">
            <w:pPr>
              <w:snapToGrid w:val="0"/>
              <w:spacing w:line="240" w:lineRule="exact"/>
              <w:jc w:val="center"/>
              <w:rPr>
                <w:rFonts w:ascii="宋体" w:hAnsi="宋体"/>
                <w:szCs w:val="21"/>
              </w:rPr>
            </w:pPr>
          </w:p>
        </w:tc>
        <w:tc>
          <w:tcPr>
            <w:tcW w:w="5287" w:type="dxa"/>
            <w:tcBorders>
              <w:top w:val="single" w:color="auto" w:sz="4" w:space="0"/>
              <w:left w:val="single" w:color="auto" w:sz="4" w:space="0"/>
              <w:bottom w:val="single" w:color="auto" w:sz="4" w:space="0"/>
              <w:right w:val="single" w:color="auto" w:sz="4" w:space="0"/>
            </w:tcBorders>
            <w:noWrap w:val="0"/>
            <w:vAlign w:val="center"/>
          </w:tcPr>
          <w:p w14:paraId="0B58CB93">
            <w:pPr>
              <w:spacing w:line="276" w:lineRule="auto"/>
              <w:rPr>
                <w:rFonts w:ascii="黑体" w:hAnsi="黑体" w:eastAsia="黑体"/>
                <w:szCs w:val="21"/>
              </w:rPr>
            </w:pPr>
            <w:r>
              <w:rPr>
                <w:rFonts w:hint="eastAsia" w:ascii="黑体" w:hAnsi="黑体" w:eastAsia="黑体"/>
                <w:szCs w:val="21"/>
              </w:rPr>
              <w:t>隐检记录：</w:t>
            </w:r>
          </w:p>
          <w:p w14:paraId="63228B05">
            <w:pPr>
              <w:spacing w:line="276" w:lineRule="auto"/>
              <w:ind w:firstLine="420" w:firstLineChars="200"/>
              <w:rPr>
                <w:rFonts w:ascii="宋体" w:hAnsi="宋体"/>
                <w:szCs w:val="21"/>
              </w:rPr>
            </w:pPr>
            <w:r>
              <w:rPr>
                <w:rFonts w:hint="eastAsia" w:ascii="宋体" w:hAnsi="宋体"/>
                <w:szCs w:val="21"/>
              </w:rPr>
              <w:t>隐蔽验收内容、签字、日期是否齐全，是否附图和照片，重点包括：</w:t>
            </w:r>
          </w:p>
          <w:p w14:paraId="1C93C79F">
            <w:pPr>
              <w:spacing w:line="276" w:lineRule="auto"/>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吊顶隐蔽验收；</w:t>
            </w:r>
          </w:p>
          <w:p w14:paraId="1C37E442">
            <w:pPr>
              <w:spacing w:line="276"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墙面干挂隐蔽验收；</w:t>
            </w:r>
          </w:p>
          <w:p w14:paraId="02624367">
            <w:pPr>
              <w:pStyle w:val="6"/>
              <w:spacing w:line="276" w:lineRule="auto"/>
              <w:ind w:firstLine="0" w:firstLineChars="0"/>
              <w:rPr>
                <w:rFonts w:hint="eastAsia" w:ascii="宋体" w:hAnsi="宋体"/>
                <w:szCs w:val="21"/>
              </w:rPr>
            </w:pPr>
            <w:r>
              <w:rPr>
                <w:rFonts w:ascii="宋体" w:hAnsi="宋体"/>
                <w:szCs w:val="21"/>
              </w:rPr>
              <w:t>3.</w:t>
            </w:r>
            <w:r>
              <w:rPr>
                <w:rFonts w:hint="eastAsia" w:ascii="宋体" w:hAnsi="宋体"/>
                <w:szCs w:val="21"/>
              </w:rPr>
              <w:t>镜面顶、玻璃墙面隐蔽验收；</w:t>
            </w:r>
          </w:p>
          <w:p w14:paraId="7A3EF12C">
            <w:pPr>
              <w:spacing w:line="276" w:lineRule="auto"/>
              <w:rPr>
                <w:rFonts w:hint="eastAsia" w:ascii="宋体" w:hAnsi="宋体"/>
                <w:szCs w:val="21"/>
              </w:rPr>
            </w:pPr>
            <w:r>
              <w:rPr>
                <w:rFonts w:ascii="宋体" w:hAnsi="宋体"/>
                <w:szCs w:val="21"/>
              </w:rPr>
              <w:t>4.</w:t>
            </w:r>
            <w:r>
              <w:rPr>
                <w:rFonts w:hint="eastAsia" w:ascii="宋体" w:hAnsi="宋体"/>
                <w:szCs w:val="21"/>
              </w:rPr>
              <w:t>过顶石、大型吊灯安装隐蔽验收；</w:t>
            </w:r>
          </w:p>
          <w:p w14:paraId="6D0C2F97">
            <w:pPr>
              <w:spacing w:line="276" w:lineRule="auto"/>
              <w:rPr>
                <w:rFonts w:ascii="宋体" w:hAnsi="宋体"/>
                <w:szCs w:val="21"/>
              </w:rPr>
            </w:pPr>
            <w:r>
              <w:rPr>
                <w:rFonts w:ascii="宋体" w:hAnsi="宋体"/>
                <w:szCs w:val="21"/>
              </w:rPr>
              <w:t>5.</w:t>
            </w:r>
            <w:r>
              <w:rPr>
                <w:rFonts w:hint="eastAsia" w:ascii="宋体" w:hAnsi="宋体"/>
                <w:szCs w:val="21"/>
              </w:rPr>
              <w:t>护栏、扶手隐蔽验收；</w:t>
            </w:r>
          </w:p>
          <w:p w14:paraId="0140BA4D">
            <w:pPr>
              <w:spacing w:line="276" w:lineRule="auto"/>
              <w:rPr>
                <w:rFonts w:hint="eastAsia" w:ascii="宋体" w:hAnsi="宋体"/>
                <w:szCs w:val="21"/>
              </w:rPr>
            </w:pPr>
            <w:r>
              <w:rPr>
                <w:rFonts w:ascii="宋体" w:hAnsi="宋体"/>
                <w:szCs w:val="21"/>
              </w:rPr>
              <w:t>6.</w:t>
            </w:r>
            <w:r>
              <w:rPr>
                <w:rFonts w:hint="eastAsia" w:ascii="宋体" w:hAnsi="宋体"/>
                <w:szCs w:val="21"/>
              </w:rPr>
              <w:t>蓄水试验（一次、二次）。</w:t>
            </w:r>
          </w:p>
        </w:tc>
        <w:tc>
          <w:tcPr>
            <w:tcW w:w="2212" w:type="dxa"/>
            <w:tcBorders>
              <w:top w:val="single" w:color="auto" w:sz="4" w:space="0"/>
              <w:left w:val="single" w:color="auto" w:sz="4" w:space="0"/>
              <w:bottom w:val="single" w:color="auto" w:sz="4" w:space="0"/>
              <w:right w:val="single" w:color="auto" w:sz="4" w:space="0"/>
            </w:tcBorders>
            <w:noWrap w:val="0"/>
            <w:vAlign w:val="center"/>
          </w:tcPr>
          <w:p w14:paraId="4D9B74CE">
            <w:pPr>
              <w:pStyle w:val="6"/>
              <w:snapToGrid w:val="0"/>
              <w:spacing w:line="288" w:lineRule="auto"/>
              <w:ind w:firstLine="0" w:firstLineChars="0"/>
              <w:rPr>
                <w:rFonts w:ascii="宋体" w:hAnsi="宋体"/>
                <w:szCs w:val="21"/>
              </w:rPr>
            </w:pPr>
            <w:r>
              <w:rPr>
                <w:rFonts w:hint="eastAsia" w:ascii="宋体" w:hAnsi="宋体"/>
                <w:szCs w:val="21"/>
              </w:rPr>
              <w:t>1</w:t>
            </w:r>
            <w:r>
              <w:rPr>
                <w:rFonts w:ascii="宋体" w:hAnsi="宋体"/>
                <w:szCs w:val="21"/>
              </w:rPr>
              <w:t>.一般性</w:t>
            </w:r>
            <w:r>
              <w:rPr>
                <w:rFonts w:hint="eastAsia" w:ascii="宋体" w:hAnsi="宋体"/>
                <w:szCs w:val="21"/>
              </w:rPr>
              <w:t>缺</w:t>
            </w:r>
            <w:r>
              <w:rPr>
                <w:rFonts w:ascii="宋体" w:hAnsi="宋体"/>
                <w:szCs w:val="21"/>
              </w:rPr>
              <w:t>项每项扣</w:t>
            </w:r>
            <w:r>
              <w:rPr>
                <w:rFonts w:hint="eastAsia" w:ascii="宋体" w:hAnsi="宋体"/>
                <w:szCs w:val="21"/>
              </w:rPr>
              <w:t>0.1-</w:t>
            </w:r>
            <w:r>
              <w:rPr>
                <w:rFonts w:ascii="宋体" w:hAnsi="宋体"/>
                <w:szCs w:val="21"/>
              </w:rPr>
              <w:t>0.2</w:t>
            </w:r>
            <w:r>
              <w:rPr>
                <w:rFonts w:hint="eastAsia" w:ascii="宋体" w:hAnsi="宋体"/>
                <w:szCs w:val="21"/>
              </w:rPr>
              <w:t>分；</w:t>
            </w:r>
          </w:p>
          <w:p w14:paraId="0E6C7B61">
            <w:pPr>
              <w:pStyle w:val="6"/>
              <w:snapToGrid w:val="0"/>
              <w:spacing w:line="288" w:lineRule="auto"/>
              <w:ind w:firstLine="0" w:firstLineChars="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重点缺项</w:t>
            </w:r>
            <w:r>
              <w:rPr>
                <w:rFonts w:ascii="宋体" w:hAnsi="宋体"/>
                <w:szCs w:val="21"/>
              </w:rPr>
              <w:t>每项</w:t>
            </w:r>
            <w:r>
              <w:rPr>
                <w:rFonts w:hint="eastAsia" w:ascii="宋体" w:hAnsi="宋体"/>
                <w:szCs w:val="21"/>
              </w:rPr>
              <w:t>扣0.2-</w:t>
            </w:r>
            <w:r>
              <w:rPr>
                <w:rFonts w:ascii="宋体" w:hAnsi="宋体"/>
                <w:szCs w:val="21"/>
              </w:rPr>
              <w:t>0.5</w:t>
            </w:r>
            <w:r>
              <w:rPr>
                <w:rFonts w:hint="eastAsia" w:ascii="宋体" w:hAnsi="宋体"/>
                <w:szCs w:val="21"/>
              </w:rPr>
              <w:t>分</w:t>
            </w:r>
          </w:p>
        </w:tc>
        <w:tc>
          <w:tcPr>
            <w:tcW w:w="1701" w:type="dxa"/>
            <w:tcBorders>
              <w:left w:val="single" w:color="auto" w:sz="4" w:space="0"/>
              <w:right w:val="single" w:color="auto" w:sz="4" w:space="0"/>
            </w:tcBorders>
            <w:noWrap w:val="0"/>
            <w:vAlign w:val="center"/>
          </w:tcPr>
          <w:p w14:paraId="547C6C55">
            <w:pPr>
              <w:snapToGrid w:val="0"/>
              <w:spacing w:line="288" w:lineRule="auto"/>
              <w:jc w:val="center"/>
              <w:rPr>
                <w:rFonts w:ascii="宋体" w:hAnsi="宋体"/>
                <w:szCs w:val="21"/>
              </w:rPr>
            </w:pPr>
          </w:p>
        </w:tc>
        <w:tc>
          <w:tcPr>
            <w:tcW w:w="851" w:type="dxa"/>
            <w:vMerge w:val="restart"/>
            <w:tcBorders>
              <w:left w:val="single" w:color="auto" w:sz="4" w:space="0"/>
              <w:right w:val="single" w:color="auto" w:sz="4" w:space="0"/>
            </w:tcBorders>
            <w:noWrap w:val="0"/>
            <w:vAlign w:val="center"/>
          </w:tcPr>
          <w:p w14:paraId="5674574B">
            <w:pPr>
              <w:snapToGrid w:val="0"/>
              <w:spacing w:line="288" w:lineRule="auto"/>
              <w:jc w:val="center"/>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9E19C0A">
            <w:pPr>
              <w:snapToGrid w:val="0"/>
              <w:spacing w:line="288" w:lineRule="auto"/>
              <w:rPr>
                <w:rFonts w:ascii="宋体" w:hAnsi="宋体"/>
                <w:szCs w:val="21"/>
              </w:rPr>
            </w:pPr>
            <w:r>
              <w:rPr>
                <w:rFonts w:hint="eastAsia" w:ascii="宋体" w:hAnsi="宋体"/>
                <w:szCs w:val="21"/>
              </w:rPr>
              <w:t>结合工程实体查相关资料</w:t>
            </w:r>
          </w:p>
        </w:tc>
      </w:tr>
      <w:tr w14:paraId="508B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72" w:type="dxa"/>
            <w:vMerge w:val="continue"/>
            <w:tcBorders>
              <w:left w:val="single" w:color="auto" w:sz="4" w:space="0"/>
              <w:right w:val="single" w:color="auto" w:sz="4" w:space="0"/>
            </w:tcBorders>
            <w:noWrap w:val="0"/>
            <w:vAlign w:val="center"/>
          </w:tcPr>
          <w:p w14:paraId="7067BA40">
            <w:pPr>
              <w:snapToGrid w:val="0"/>
              <w:spacing w:line="288" w:lineRule="auto"/>
              <w:jc w:val="center"/>
              <w:rPr>
                <w:rFonts w:ascii="宋体" w:hAnsi="宋体"/>
                <w:szCs w:val="21"/>
              </w:rPr>
            </w:pPr>
          </w:p>
        </w:tc>
        <w:tc>
          <w:tcPr>
            <w:tcW w:w="1218" w:type="dxa"/>
            <w:vMerge w:val="continue"/>
            <w:tcBorders>
              <w:left w:val="single" w:color="auto" w:sz="4" w:space="0"/>
              <w:right w:val="single" w:color="auto" w:sz="4" w:space="0"/>
            </w:tcBorders>
            <w:noWrap w:val="0"/>
            <w:vAlign w:val="center"/>
          </w:tcPr>
          <w:p w14:paraId="1F33D956">
            <w:pPr>
              <w:snapToGrid w:val="0"/>
              <w:spacing w:line="240" w:lineRule="exact"/>
              <w:jc w:val="center"/>
              <w:rPr>
                <w:rFonts w:ascii="宋体" w:hAnsi="宋体"/>
                <w:szCs w:val="21"/>
              </w:rPr>
            </w:pPr>
          </w:p>
        </w:tc>
        <w:tc>
          <w:tcPr>
            <w:tcW w:w="5287" w:type="dxa"/>
            <w:tcBorders>
              <w:top w:val="single" w:color="auto" w:sz="4" w:space="0"/>
              <w:left w:val="single" w:color="auto" w:sz="4" w:space="0"/>
              <w:bottom w:val="single" w:color="auto" w:sz="4" w:space="0"/>
              <w:right w:val="single" w:color="auto" w:sz="4" w:space="0"/>
            </w:tcBorders>
            <w:noWrap w:val="0"/>
            <w:vAlign w:val="center"/>
          </w:tcPr>
          <w:p w14:paraId="19FDCCC8">
            <w:pPr>
              <w:spacing w:line="276" w:lineRule="auto"/>
              <w:jc w:val="left"/>
              <w:rPr>
                <w:rFonts w:ascii="黑体" w:hAnsi="黑体" w:eastAsia="黑体"/>
                <w:szCs w:val="21"/>
              </w:rPr>
            </w:pPr>
            <w:r>
              <w:rPr>
                <w:rFonts w:hint="eastAsia" w:ascii="黑体" w:hAnsi="黑体" w:eastAsia="黑体"/>
                <w:szCs w:val="21"/>
              </w:rPr>
              <w:t>质量验收：</w:t>
            </w:r>
          </w:p>
          <w:p w14:paraId="2C9E9617">
            <w:pPr>
              <w:tabs>
                <w:tab w:val="left" w:pos="360"/>
              </w:tabs>
              <w:spacing w:line="276" w:lineRule="auto"/>
              <w:jc w:val="left"/>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检验批验收；</w:t>
            </w:r>
          </w:p>
          <w:p w14:paraId="0B4106FF">
            <w:pPr>
              <w:tabs>
                <w:tab w:val="left" w:pos="360"/>
              </w:tabs>
              <w:spacing w:line="276" w:lineRule="auto"/>
              <w:jc w:val="lef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分项、子分项验收；</w:t>
            </w:r>
          </w:p>
          <w:p w14:paraId="44329BEA">
            <w:pPr>
              <w:tabs>
                <w:tab w:val="left" w:pos="360"/>
              </w:tabs>
              <w:spacing w:line="276" w:lineRule="auto"/>
              <w:jc w:val="left"/>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分部、子分部验收。</w:t>
            </w:r>
          </w:p>
        </w:tc>
        <w:tc>
          <w:tcPr>
            <w:tcW w:w="2212" w:type="dxa"/>
            <w:tcBorders>
              <w:top w:val="single" w:color="auto" w:sz="4" w:space="0"/>
              <w:left w:val="single" w:color="auto" w:sz="4" w:space="0"/>
              <w:bottom w:val="single" w:color="auto" w:sz="4" w:space="0"/>
              <w:right w:val="single" w:color="auto" w:sz="4" w:space="0"/>
            </w:tcBorders>
            <w:noWrap w:val="0"/>
            <w:vAlign w:val="center"/>
          </w:tcPr>
          <w:p w14:paraId="5317394D">
            <w:pPr>
              <w:pStyle w:val="6"/>
              <w:snapToGrid w:val="0"/>
              <w:spacing w:line="288" w:lineRule="auto"/>
              <w:ind w:firstLine="0" w:firstLineChars="0"/>
              <w:rPr>
                <w:rFonts w:ascii="宋体" w:hAnsi="宋体"/>
                <w:szCs w:val="21"/>
              </w:rPr>
            </w:pPr>
            <w:r>
              <w:rPr>
                <w:rFonts w:hint="eastAsia" w:ascii="宋体" w:hAnsi="宋体"/>
                <w:szCs w:val="21"/>
              </w:rPr>
              <w:t>1</w:t>
            </w:r>
            <w:r>
              <w:rPr>
                <w:rFonts w:ascii="宋体" w:hAnsi="宋体"/>
                <w:szCs w:val="21"/>
              </w:rPr>
              <w:t>.一般性</w:t>
            </w:r>
            <w:r>
              <w:rPr>
                <w:rFonts w:hint="eastAsia" w:ascii="宋体" w:hAnsi="宋体"/>
                <w:szCs w:val="21"/>
              </w:rPr>
              <w:t>缺</w:t>
            </w:r>
            <w:r>
              <w:rPr>
                <w:rFonts w:ascii="宋体" w:hAnsi="宋体"/>
                <w:szCs w:val="21"/>
              </w:rPr>
              <w:t>项每项扣</w:t>
            </w:r>
            <w:r>
              <w:rPr>
                <w:rFonts w:hint="eastAsia" w:ascii="宋体" w:hAnsi="宋体"/>
                <w:szCs w:val="21"/>
              </w:rPr>
              <w:t>0.1-</w:t>
            </w:r>
            <w:r>
              <w:rPr>
                <w:rFonts w:ascii="宋体" w:hAnsi="宋体"/>
                <w:szCs w:val="21"/>
              </w:rPr>
              <w:t>0.2</w:t>
            </w:r>
            <w:r>
              <w:rPr>
                <w:rFonts w:hint="eastAsia" w:ascii="宋体" w:hAnsi="宋体"/>
                <w:szCs w:val="21"/>
              </w:rPr>
              <w:t>分；</w:t>
            </w:r>
          </w:p>
          <w:p w14:paraId="5F472663">
            <w:pPr>
              <w:pStyle w:val="6"/>
              <w:snapToGrid w:val="0"/>
              <w:spacing w:line="288" w:lineRule="auto"/>
              <w:ind w:firstLine="0" w:firstLineChars="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重点缺项</w:t>
            </w:r>
            <w:r>
              <w:rPr>
                <w:rFonts w:ascii="宋体" w:hAnsi="宋体"/>
                <w:szCs w:val="21"/>
              </w:rPr>
              <w:t>每项</w:t>
            </w:r>
            <w:r>
              <w:rPr>
                <w:rFonts w:hint="eastAsia" w:ascii="宋体" w:hAnsi="宋体"/>
                <w:szCs w:val="21"/>
              </w:rPr>
              <w:t>扣0.2-</w:t>
            </w:r>
            <w:r>
              <w:rPr>
                <w:rFonts w:ascii="宋体" w:hAnsi="宋体"/>
                <w:szCs w:val="21"/>
              </w:rPr>
              <w:t>0.5</w:t>
            </w:r>
            <w:r>
              <w:rPr>
                <w:rFonts w:hint="eastAsia" w:ascii="宋体" w:hAnsi="宋体"/>
                <w:szCs w:val="21"/>
              </w:rPr>
              <w:t>分</w:t>
            </w:r>
          </w:p>
        </w:tc>
        <w:tc>
          <w:tcPr>
            <w:tcW w:w="1701" w:type="dxa"/>
            <w:tcBorders>
              <w:left w:val="single" w:color="auto" w:sz="4" w:space="0"/>
              <w:right w:val="single" w:color="auto" w:sz="4" w:space="0"/>
            </w:tcBorders>
            <w:noWrap w:val="0"/>
            <w:vAlign w:val="center"/>
          </w:tcPr>
          <w:p w14:paraId="22B50C47">
            <w:pPr>
              <w:snapToGrid w:val="0"/>
              <w:spacing w:line="288" w:lineRule="auto"/>
              <w:jc w:val="center"/>
              <w:rPr>
                <w:rFonts w:ascii="宋体" w:hAnsi="宋体"/>
                <w:szCs w:val="21"/>
              </w:rPr>
            </w:pPr>
          </w:p>
        </w:tc>
        <w:tc>
          <w:tcPr>
            <w:tcW w:w="851" w:type="dxa"/>
            <w:vMerge w:val="continue"/>
            <w:tcBorders>
              <w:left w:val="single" w:color="auto" w:sz="4" w:space="0"/>
              <w:right w:val="single" w:color="auto" w:sz="4" w:space="0"/>
            </w:tcBorders>
            <w:noWrap w:val="0"/>
            <w:vAlign w:val="center"/>
          </w:tcPr>
          <w:p w14:paraId="7B00DAAB">
            <w:pPr>
              <w:snapToGrid w:val="0"/>
              <w:spacing w:line="288" w:lineRule="auto"/>
              <w:jc w:val="center"/>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C638401">
            <w:pPr>
              <w:snapToGrid w:val="0"/>
              <w:spacing w:line="288" w:lineRule="auto"/>
              <w:rPr>
                <w:rFonts w:ascii="宋体" w:hAnsi="宋体"/>
                <w:szCs w:val="21"/>
              </w:rPr>
            </w:pPr>
            <w:r>
              <w:rPr>
                <w:rFonts w:hint="eastAsia" w:ascii="宋体" w:hAnsi="宋体"/>
                <w:szCs w:val="21"/>
              </w:rPr>
              <w:t>结合工程实体查相关资料</w:t>
            </w:r>
          </w:p>
        </w:tc>
      </w:tr>
      <w:tr w14:paraId="7340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772" w:type="dxa"/>
            <w:vMerge w:val="continue"/>
            <w:tcBorders>
              <w:left w:val="single" w:color="auto" w:sz="4" w:space="0"/>
              <w:right w:val="single" w:color="auto" w:sz="4" w:space="0"/>
            </w:tcBorders>
            <w:noWrap w:val="0"/>
            <w:vAlign w:val="center"/>
          </w:tcPr>
          <w:p w14:paraId="0E30A184">
            <w:pPr>
              <w:snapToGrid w:val="0"/>
              <w:spacing w:line="288" w:lineRule="auto"/>
              <w:jc w:val="center"/>
              <w:rPr>
                <w:rFonts w:ascii="宋体" w:hAnsi="宋体"/>
                <w:szCs w:val="21"/>
              </w:rPr>
            </w:pPr>
          </w:p>
        </w:tc>
        <w:tc>
          <w:tcPr>
            <w:tcW w:w="1218" w:type="dxa"/>
            <w:vMerge w:val="continue"/>
            <w:tcBorders>
              <w:left w:val="single" w:color="auto" w:sz="4" w:space="0"/>
              <w:right w:val="single" w:color="auto" w:sz="4" w:space="0"/>
            </w:tcBorders>
            <w:noWrap w:val="0"/>
            <w:vAlign w:val="center"/>
          </w:tcPr>
          <w:p w14:paraId="6E4BC7D7">
            <w:pPr>
              <w:snapToGrid w:val="0"/>
              <w:spacing w:line="240" w:lineRule="exact"/>
              <w:jc w:val="center"/>
              <w:rPr>
                <w:rFonts w:ascii="宋体" w:hAnsi="宋体"/>
                <w:szCs w:val="21"/>
              </w:rPr>
            </w:pPr>
          </w:p>
        </w:tc>
        <w:tc>
          <w:tcPr>
            <w:tcW w:w="5287" w:type="dxa"/>
            <w:tcBorders>
              <w:top w:val="single" w:color="auto" w:sz="4" w:space="0"/>
              <w:left w:val="single" w:color="auto" w:sz="4" w:space="0"/>
              <w:bottom w:val="single" w:color="auto" w:sz="4" w:space="0"/>
              <w:right w:val="single" w:color="auto" w:sz="4" w:space="0"/>
            </w:tcBorders>
            <w:noWrap w:val="0"/>
            <w:vAlign w:val="center"/>
          </w:tcPr>
          <w:p w14:paraId="136E92C1">
            <w:pPr>
              <w:spacing w:line="276" w:lineRule="auto"/>
              <w:rPr>
                <w:rFonts w:ascii="黑体" w:hAnsi="黑体" w:eastAsia="黑体"/>
                <w:szCs w:val="21"/>
              </w:rPr>
            </w:pPr>
            <w:r>
              <w:rPr>
                <w:rFonts w:hint="eastAsia" w:ascii="黑体" w:hAnsi="黑体" w:eastAsia="黑体"/>
                <w:szCs w:val="21"/>
              </w:rPr>
              <w:t>施工日志：</w:t>
            </w:r>
          </w:p>
          <w:p w14:paraId="369A7013">
            <w:pPr>
              <w:spacing w:line="276" w:lineRule="auto"/>
              <w:rPr>
                <w:rFonts w:ascii="宋体" w:hAnsi="宋体"/>
                <w:szCs w:val="21"/>
              </w:rPr>
            </w:pPr>
            <w:r>
              <w:rPr>
                <w:rFonts w:ascii="宋体" w:hAnsi="宋体"/>
                <w:szCs w:val="21"/>
              </w:rPr>
              <w:t>1.</w:t>
            </w:r>
            <w:r>
              <w:rPr>
                <w:rFonts w:hint="eastAsia" w:ascii="宋体" w:hAnsi="宋体"/>
                <w:szCs w:val="21"/>
              </w:rPr>
              <w:t>施工日志字迹清楚、内容齐全；</w:t>
            </w:r>
          </w:p>
          <w:p w14:paraId="3AE19AF2">
            <w:pPr>
              <w:spacing w:line="276" w:lineRule="auto"/>
              <w:rPr>
                <w:rFonts w:ascii="宋体" w:hAnsi="宋体"/>
                <w:szCs w:val="21"/>
              </w:rPr>
            </w:pPr>
            <w:r>
              <w:rPr>
                <w:rFonts w:ascii="宋体" w:hAnsi="宋体"/>
                <w:szCs w:val="21"/>
              </w:rPr>
              <w:t>2.</w:t>
            </w:r>
            <w:r>
              <w:rPr>
                <w:rFonts w:hint="eastAsia" w:ascii="宋体" w:hAnsi="宋体"/>
                <w:szCs w:val="21"/>
              </w:rPr>
              <w:t>施工日志内容准确、真实、具体、不缺失；</w:t>
            </w:r>
          </w:p>
          <w:p w14:paraId="7D7C6565">
            <w:pPr>
              <w:spacing w:line="276" w:lineRule="auto"/>
              <w:rPr>
                <w:rFonts w:ascii="宋体" w:hAnsi="宋体"/>
                <w:szCs w:val="21"/>
              </w:rPr>
            </w:pPr>
            <w:r>
              <w:rPr>
                <w:rFonts w:hint="eastAsia" w:ascii="宋体" w:hAnsi="宋体"/>
                <w:szCs w:val="21"/>
              </w:rPr>
              <w:t>3.施工日志日期与其他相关资料报验日期的吻合性。</w:t>
            </w:r>
          </w:p>
        </w:tc>
        <w:tc>
          <w:tcPr>
            <w:tcW w:w="2212" w:type="dxa"/>
            <w:tcBorders>
              <w:top w:val="single" w:color="auto" w:sz="4" w:space="0"/>
              <w:left w:val="single" w:color="auto" w:sz="4" w:space="0"/>
              <w:bottom w:val="single" w:color="auto" w:sz="4" w:space="0"/>
              <w:right w:val="single" w:color="auto" w:sz="4" w:space="0"/>
            </w:tcBorders>
            <w:noWrap w:val="0"/>
            <w:vAlign w:val="center"/>
          </w:tcPr>
          <w:p w14:paraId="3F44C7DD">
            <w:pPr>
              <w:pStyle w:val="6"/>
              <w:snapToGrid w:val="0"/>
              <w:spacing w:line="288" w:lineRule="auto"/>
              <w:ind w:firstLine="0" w:firstLineChars="0"/>
              <w:rPr>
                <w:rFonts w:ascii="宋体" w:hAnsi="宋体"/>
                <w:szCs w:val="21"/>
              </w:rPr>
            </w:pPr>
            <w:r>
              <w:rPr>
                <w:rFonts w:hint="eastAsia" w:ascii="宋体" w:hAnsi="宋体"/>
                <w:szCs w:val="21"/>
              </w:rPr>
              <w:t>1</w:t>
            </w:r>
            <w:r>
              <w:rPr>
                <w:rFonts w:ascii="宋体" w:hAnsi="宋体"/>
                <w:szCs w:val="21"/>
              </w:rPr>
              <w:t>.一般性</w:t>
            </w:r>
            <w:r>
              <w:rPr>
                <w:rFonts w:hint="eastAsia" w:ascii="宋体" w:hAnsi="宋体"/>
                <w:szCs w:val="21"/>
              </w:rPr>
              <w:t>缺</w:t>
            </w:r>
            <w:r>
              <w:rPr>
                <w:rFonts w:ascii="宋体" w:hAnsi="宋体"/>
                <w:szCs w:val="21"/>
              </w:rPr>
              <w:t>项每项扣</w:t>
            </w:r>
            <w:r>
              <w:rPr>
                <w:rFonts w:hint="eastAsia" w:ascii="宋体" w:hAnsi="宋体"/>
                <w:szCs w:val="21"/>
              </w:rPr>
              <w:t>0.1-</w:t>
            </w:r>
            <w:r>
              <w:rPr>
                <w:rFonts w:ascii="宋体" w:hAnsi="宋体"/>
                <w:szCs w:val="21"/>
              </w:rPr>
              <w:t>0.2</w:t>
            </w:r>
            <w:r>
              <w:rPr>
                <w:rFonts w:hint="eastAsia" w:ascii="宋体" w:hAnsi="宋体"/>
                <w:szCs w:val="21"/>
              </w:rPr>
              <w:t>分；</w:t>
            </w:r>
          </w:p>
          <w:p w14:paraId="7BD4BA1B">
            <w:pPr>
              <w:pStyle w:val="6"/>
              <w:snapToGrid w:val="0"/>
              <w:spacing w:line="288" w:lineRule="auto"/>
              <w:ind w:firstLine="0" w:firstLineChars="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重点缺项</w:t>
            </w:r>
            <w:r>
              <w:rPr>
                <w:rFonts w:ascii="宋体" w:hAnsi="宋体"/>
                <w:szCs w:val="21"/>
              </w:rPr>
              <w:t>每项</w:t>
            </w:r>
            <w:r>
              <w:rPr>
                <w:rFonts w:hint="eastAsia" w:ascii="宋体" w:hAnsi="宋体"/>
                <w:szCs w:val="21"/>
              </w:rPr>
              <w:t>扣0.2-</w:t>
            </w:r>
            <w:r>
              <w:rPr>
                <w:rFonts w:ascii="宋体" w:hAnsi="宋体"/>
                <w:szCs w:val="21"/>
              </w:rPr>
              <w:t>0.5</w:t>
            </w:r>
            <w:r>
              <w:rPr>
                <w:rFonts w:hint="eastAsia" w:ascii="宋体" w:hAnsi="宋体"/>
                <w:szCs w:val="21"/>
              </w:rPr>
              <w:t>分</w:t>
            </w:r>
          </w:p>
        </w:tc>
        <w:tc>
          <w:tcPr>
            <w:tcW w:w="1701" w:type="dxa"/>
            <w:tcBorders>
              <w:left w:val="single" w:color="auto" w:sz="4" w:space="0"/>
              <w:right w:val="single" w:color="auto" w:sz="4" w:space="0"/>
            </w:tcBorders>
            <w:noWrap w:val="0"/>
            <w:vAlign w:val="center"/>
          </w:tcPr>
          <w:p w14:paraId="26F278B9">
            <w:pPr>
              <w:snapToGrid w:val="0"/>
              <w:spacing w:line="288" w:lineRule="auto"/>
              <w:jc w:val="center"/>
              <w:rPr>
                <w:rFonts w:ascii="宋体" w:hAnsi="宋体"/>
                <w:szCs w:val="21"/>
              </w:rPr>
            </w:pPr>
          </w:p>
        </w:tc>
        <w:tc>
          <w:tcPr>
            <w:tcW w:w="851" w:type="dxa"/>
            <w:vMerge w:val="continue"/>
            <w:tcBorders>
              <w:left w:val="single" w:color="auto" w:sz="4" w:space="0"/>
              <w:right w:val="single" w:color="auto" w:sz="4" w:space="0"/>
            </w:tcBorders>
            <w:noWrap w:val="0"/>
            <w:vAlign w:val="center"/>
          </w:tcPr>
          <w:p w14:paraId="534CE952">
            <w:pPr>
              <w:snapToGrid w:val="0"/>
              <w:spacing w:line="288" w:lineRule="auto"/>
              <w:jc w:val="center"/>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25A83B4">
            <w:pPr>
              <w:snapToGrid w:val="0"/>
              <w:spacing w:line="288" w:lineRule="auto"/>
              <w:rPr>
                <w:rFonts w:ascii="宋体" w:hAnsi="宋体"/>
                <w:szCs w:val="21"/>
              </w:rPr>
            </w:pPr>
            <w:r>
              <w:rPr>
                <w:rFonts w:hint="eastAsia" w:ascii="宋体" w:hAnsi="宋体"/>
                <w:szCs w:val="21"/>
              </w:rPr>
              <w:t>结合工程实体查相关资料</w:t>
            </w:r>
          </w:p>
        </w:tc>
      </w:tr>
    </w:tbl>
    <w:p w14:paraId="73A412B5">
      <w:pPr>
        <w:snapToGrid w:val="0"/>
        <w:spacing w:line="288" w:lineRule="auto"/>
        <w:jc w:val="center"/>
        <w:rPr>
          <w:rFonts w:ascii="宋体" w:hAnsi="宋体"/>
          <w:szCs w:val="21"/>
        </w:rPr>
        <w:sectPr>
          <w:footerReference r:id="rId7" w:type="default"/>
          <w:pgSz w:w="16838" w:h="11906" w:orient="landscape"/>
          <w:pgMar w:top="1440" w:right="1247" w:bottom="1440" w:left="1587" w:header="851" w:footer="992" w:gutter="0"/>
          <w:pgNumType w:fmt="numberInDash"/>
          <w:cols w:space="720" w:num="1"/>
          <w:docGrid w:type="lines" w:linePitch="312" w:charSpace="0"/>
        </w:sectPr>
      </w:pPr>
    </w:p>
    <w:tbl>
      <w:tblPr>
        <w:tblStyle w:val="4"/>
        <w:tblW w:w="14309"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218"/>
        <w:gridCol w:w="5656"/>
        <w:gridCol w:w="1843"/>
        <w:gridCol w:w="1701"/>
        <w:gridCol w:w="851"/>
        <w:gridCol w:w="2268"/>
      </w:tblGrid>
      <w:tr w14:paraId="0AC4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772" w:type="dxa"/>
            <w:vMerge w:val="restart"/>
            <w:tcBorders>
              <w:left w:val="single" w:color="auto" w:sz="4" w:space="0"/>
              <w:right w:val="single" w:color="auto" w:sz="4" w:space="0"/>
            </w:tcBorders>
            <w:noWrap w:val="0"/>
            <w:vAlign w:val="center"/>
          </w:tcPr>
          <w:p w14:paraId="03E530E0">
            <w:pPr>
              <w:pStyle w:val="2"/>
              <w:outlineLvl w:val="9"/>
            </w:pPr>
          </w:p>
        </w:tc>
        <w:tc>
          <w:tcPr>
            <w:tcW w:w="1218" w:type="dxa"/>
            <w:vMerge w:val="restart"/>
            <w:tcBorders>
              <w:left w:val="single" w:color="auto" w:sz="4" w:space="0"/>
              <w:right w:val="single" w:color="auto" w:sz="4" w:space="0"/>
            </w:tcBorders>
            <w:noWrap w:val="0"/>
            <w:vAlign w:val="center"/>
          </w:tcPr>
          <w:p w14:paraId="4DDE0409">
            <w:pPr>
              <w:snapToGrid w:val="0"/>
              <w:spacing w:line="240" w:lineRule="exact"/>
              <w:jc w:val="center"/>
              <w:rPr>
                <w:rFonts w:ascii="宋体" w:hAnsi="宋体"/>
                <w:szCs w:val="21"/>
              </w:rPr>
            </w:pPr>
          </w:p>
        </w:tc>
        <w:tc>
          <w:tcPr>
            <w:tcW w:w="5656" w:type="dxa"/>
            <w:tcBorders>
              <w:top w:val="single" w:color="auto" w:sz="4" w:space="0"/>
              <w:left w:val="single" w:color="auto" w:sz="4" w:space="0"/>
              <w:bottom w:val="single" w:color="auto" w:sz="4" w:space="0"/>
              <w:right w:val="single" w:color="auto" w:sz="4" w:space="0"/>
            </w:tcBorders>
            <w:noWrap w:val="0"/>
            <w:vAlign w:val="center"/>
          </w:tcPr>
          <w:p w14:paraId="3F85BD0F">
            <w:pPr>
              <w:snapToGrid w:val="0"/>
              <w:spacing w:line="240" w:lineRule="exact"/>
              <w:jc w:val="left"/>
              <w:rPr>
                <w:rFonts w:ascii="黑体" w:hAnsi="黑体" w:eastAsia="黑体"/>
                <w:szCs w:val="21"/>
              </w:rPr>
            </w:pPr>
            <w:r>
              <w:rPr>
                <w:rFonts w:hint="eastAsia" w:ascii="黑体" w:hAnsi="黑体" w:eastAsia="黑体"/>
                <w:szCs w:val="21"/>
              </w:rPr>
              <w:t>节能设计：</w:t>
            </w:r>
          </w:p>
          <w:p w14:paraId="441A1EB5">
            <w:pPr>
              <w:snapToGrid w:val="0"/>
              <w:spacing w:line="276" w:lineRule="auto"/>
              <w:rPr>
                <w:rFonts w:ascii="宋体" w:hAnsi="宋体"/>
                <w:szCs w:val="21"/>
              </w:rPr>
            </w:pPr>
            <w:r>
              <w:rPr>
                <w:rFonts w:hint="eastAsia" w:ascii="宋体" w:hAnsi="宋体"/>
                <w:szCs w:val="21"/>
              </w:rPr>
              <w:t>工程是否体现节能的设计理念，如绿色照明技术应用（节能灯）等节能，节水节材，节地设计，充分利用自然资源的设计。</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DB2DA2F">
            <w:pPr>
              <w:snapToGrid w:val="0"/>
              <w:spacing w:line="288" w:lineRule="auto"/>
              <w:jc w:val="left"/>
              <w:rPr>
                <w:rFonts w:ascii="宋体" w:hAnsi="宋体"/>
                <w:szCs w:val="21"/>
              </w:rPr>
            </w:pPr>
            <w:r>
              <w:rPr>
                <w:rFonts w:ascii="宋体" w:hAnsi="宋体"/>
                <w:szCs w:val="21"/>
              </w:rPr>
              <w:t>未体现扣</w:t>
            </w:r>
            <w:r>
              <w:rPr>
                <w:rFonts w:hint="eastAsia" w:ascii="宋体" w:hAnsi="宋体"/>
                <w:szCs w:val="21"/>
              </w:rPr>
              <w:t>0.2分</w:t>
            </w:r>
          </w:p>
        </w:tc>
        <w:tc>
          <w:tcPr>
            <w:tcW w:w="1701" w:type="dxa"/>
            <w:tcBorders>
              <w:left w:val="single" w:color="auto" w:sz="4" w:space="0"/>
              <w:right w:val="single" w:color="auto" w:sz="4" w:space="0"/>
            </w:tcBorders>
            <w:noWrap w:val="0"/>
            <w:vAlign w:val="center"/>
          </w:tcPr>
          <w:p w14:paraId="2466A180">
            <w:pPr>
              <w:snapToGrid w:val="0"/>
              <w:spacing w:line="288" w:lineRule="auto"/>
              <w:jc w:val="center"/>
              <w:rPr>
                <w:rFonts w:ascii="宋体" w:hAnsi="宋体"/>
                <w:szCs w:val="21"/>
              </w:rPr>
            </w:pPr>
          </w:p>
        </w:tc>
        <w:tc>
          <w:tcPr>
            <w:tcW w:w="851" w:type="dxa"/>
            <w:vMerge w:val="restart"/>
            <w:tcBorders>
              <w:left w:val="single" w:color="auto" w:sz="4" w:space="0"/>
              <w:right w:val="single" w:color="auto" w:sz="4" w:space="0"/>
            </w:tcBorders>
            <w:noWrap w:val="0"/>
            <w:vAlign w:val="center"/>
          </w:tcPr>
          <w:p w14:paraId="0FAAF42C">
            <w:pPr>
              <w:snapToGrid w:val="0"/>
              <w:spacing w:line="288" w:lineRule="auto"/>
              <w:jc w:val="center"/>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2C82104">
            <w:pPr>
              <w:snapToGrid w:val="0"/>
              <w:spacing w:line="288" w:lineRule="auto"/>
              <w:rPr>
                <w:rFonts w:ascii="宋体" w:hAnsi="宋体"/>
                <w:szCs w:val="21"/>
              </w:rPr>
            </w:pPr>
            <w:r>
              <w:rPr>
                <w:rFonts w:hint="eastAsia" w:ascii="宋体" w:hAnsi="宋体"/>
                <w:szCs w:val="21"/>
              </w:rPr>
              <w:t>结合工程实体查相关资料</w:t>
            </w:r>
          </w:p>
        </w:tc>
      </w:tr>
      <w:tr w14:paraId="47366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72" w:type="dxa"/>
            <w:vMerge w:val="continue"/>
            <w:tcBorders>
              <w:left w:val="single" w:color="auto" w:sz="4" w:space="0"/>
              <w:right w:val="single" w:color="auto" w:sz="4" w:space="0"/>
            </w:tcBorders>
            <w:noWrap w:val="0"/>
            <w:vAlign w:val="center"/>
          </w:tcPr>
          <w:p w14:paraId="77E6F26D">
            <w:pPr>
              <w:snapToGrid w:val="0"/>
              <w:spacing w:line="288" w:lineRule="auto"/>
              <w:jc w:val="center"/>
              <w:rPr>
                <w:rFonts w:ascii="宋体" w:hAnsi="宋体"/>
                <w:szCs w:val="21"/>
              </w:rPr>
            </w:pPr>
          </w:p>
        </w:tc>
        <w:tc>
          <w:tcPr>
            <w:tcW w:w="1218" w:type="dxa"/>
            <w:vMerge w:val="continue"/>
            <w:tcBorders>
              <w:left w:val="single" w:color="auto" w:sz="4" w:space="0"/>
              <w:bottom w:val="single" w:color="auto" w:sz="4" w:space="0"/>
              <w:right w:val="single" w:color="auto" w:sz="4" w:space="0"/>
            </w:tcBorders>
            <w:noWrap w:val="0"/>
            <w:vAlign w:val="center"/>
          </w:tcPr>
          <w:p w14:paraId="6EFDE0B2">
            <w:pPr>
              <w:snapToGrid w:val="0"/>
              <w:spacing w:line="240" w:lineRule="exact"/>
              <w:jc w:val="center"/>
              <w:rPr>
                <w:rFonts w:ascii="宋体" w:hAnsi="宋体"/>
                <w:szCs w:val="21"/>
              </w:rPr>
            </w:pPr>
          </w:p>
        </w:tc>
        <w:tc>
          <w:tcPr>
            <w:tcW w:w="5656" w:type="dxa"/>
            <w:tcBorders>
              <w:top w:val="single" w:color="auto" w:sz="4" w:space="0"/>
              <w:left w:val="single" w:color="auto" w:sz="4" w:space="0"/>
              <w:bottom w:val="single" w:color="auto" w:sz="4" w:space="0"/>
              <w:right w:val="single" w:color="auto" w:sz="4" w:space="0"/>
            </w:tcBorders>
            <w:noWrap w:val="0"/>
            <w:vAlign w:val="center"/>
          </w:tcPr>
          <w:p w14:paraId="443E0B8D">
            <w:pPr>
              <w:snapToGrid w:val="0"/>
              <w:spacing w:line="276" w:lineRule="auto"/>
              <w:rPr>
                <w:rFonts w:ascii="黑体" w:hAnsi="黑体" w:eastAsia="黑体"/>
                <w:szCs w:val="21"/>
              </w:rPr>
            </w:pPr>
            <w:r>
              <w:rPr>
                <w:rFonts w:hint="eastAsia" w:ascii="黑体" w:hAnsi="黑体" w:eastAsia="黑体"/>
                <w:szCs w:val="21"/>
              </w:rPr>
              <w:t>竣工图纸：</w:t>
            </w:r>
          </w:p>
          <w:p w14:paraId="082CA8C4">
            <w:pPr>
              <w:snapToGrid w:val="0"/>
              <w:spacing w:line="276" w:lineRule="auto"/>
              <w:rPr>
                <w:rFonts w:ascii="宋体" w:hAnsi="宋体"/>
                <w:szCs w:val="21"/>
              </w:rPr>
            </w:pPr>
            <w:r>
              <w:rPr>
                <w:rFonts w:hint="eastAsia" w:ascii="宋体" w:hAnsi="宋体"/>
                <w:szCs w:val="21"/>
              </w:rPr>
              <w:t>是否组卷成册，重点节点部位是否清晰完整，重点包括：</w:t>
            </w:r>
          </w:p>
          <w:p w14:paraId="6E916126">
            <w:pPr>
              <w:snapToGrid w:val="0"/>
              <w:spacing w:line="276" w:lineRule="auto"/>
              <w:rPr>
                <w:rFonts w:ascii="宋体" w:hAnsi="宋体"/>
                <w:szCs w:val="21"/>
              </w:rPr>
            </w:pPr>
            <w:r>
              <w:rPr>
                <w:rFonts w:hint="eastAsia" w:ascii="宋体" w:hAnsi="宋体"/>
                <w:szCs w:val="21"/>
              </w:rPr>
              <w:t>1.竣工图章、签字是否齐全有效；</w:t>
            </w:r>
          </w:p>
          <w:p w14:paraId="29A9A436">
            <w:pPr>
              <w:snapToGrid w:val="0"/>
              <w:spacing w:line="276" w:lineRule="auto"/>
              <w:rPr>
                <w:rFonts w:ascii="宋体" w:hAnsi="宋体"/>
                <w:szCs w:val="21"/>
              </w:rPr>
            </w:pPr>
            <w:r>
              <w:rPr>
                <w:rFonts w:ascii="宋体" w:hAnsi="宋体"/>
                <w:szCs w:val="21"/>
              </w:rPr>
              <w:t>2</w:t>
            </w:r>
            <w:r>
              <w:rPr>
                <w:rFonts w:hint="eastAsia" w:ascii="宋体" w:hAnsi="宋体"/>
                <w:szCs w:val="21"/>
              </w:rPr>
              <w:t>.竣工图引用规范是否合理、有效；</w:t>
            </w:r>
          </w:p>
          <w:p w14:paraId="39DF5322">
            <w:pPr>
              <w:snapToGrid w:val="0"/>
              <w:spacing w:line="276" w:lineRule="auto"/>
              <w:rPr>
                <w:rFonts w:ascii="宋体" w:hAnsi="宋体"/>
                <w:szCs w:val="21"/>
              </w:rPr>
            </w:pPr>
            <w:r>
              <w:rPr>
                <w:rFonts w:ascii="宋体" w:hAnsi="宋体"/>
                <w:szCs w:val="21"/>
              </w:rPr>
              <w:t>3</w:t>
            </w:r>
            <w:r>
              <w:rPr>
                <w:rFonts w:hint="eastAsia" w:ascii="宋体" w:hAnsi="宋体"/>
                <w:szCs w:val="21"/>
              </w:rPr>
              <w:t>.竣工图局部是否与实际相符；</w:t>
            </w:r>
          </w:p>
          <w:p w14:paraId="109D506F">
            <w:pPr>
              <w:snapToGrid w:val="0"/>
              <w:spacing w:line="276" w:lineRule="auto"/>
              <w:rPr>
                <w:rFonts w:ascii="宋体" w:hAnsi="宋体"/>
                <w:szCs w:val="21"/>
              </w:rPr>
            </w:pPr>
            <w:r>
              <w:rPr>
                <w:rFonts w:ascii="宋体" w:hAnsi="宋体"/>
                <w:szCs w:val="21"/>
              </w:rPr>
              <w:t>4</w:t>
            </w:r>
            <w:r>
              <w:rPr>
                <w:rFonts w:hint="eastAsia" w:ascii="宋体" w:hAnsi="宋体"/>
                <w:szCs w:val="21"/>
              </w:rPr>
              <w:t>.重点部位的节点图是否清晰完整；</w:t>
            </w:r>
          </w:p>
          <w:p w14:paraId="61584170">
            <w:pPr>
              <w:snapToGrid w:val="0"/>
              <w:spacing w:line="276" w:lineRule="auto"/>
              <w:rPr>
                <w:rFonts w:ascii="宋体" w:hAnsi="宋体"/>
                <w:szCs w:val="21"/>
              </w:rPr>
            </w:pPr>
            <w:r>
              <w:rPr>
                <w:rFonts w:ascii="宋体" w:hAnsi="宋体"/>
                <w:szCs w:val="21"/>
              </w:rPr>
              <w:t>5</w:t>
            </w:r>
            <w:r>
              <w:rPr>
                <w:rFonts w:hint="eastAsia" w:ascii="宋体" w:hAnsi="宋体"/>
                <w:szCs w:val="21"/>
              </w:rPr>
              <w:t>.大型吊灯安装节点；</w:t>
            </w:r>
          </w:p>
          <w:p w14:paraId="69CB4FEE">
            <w:pPr>
              <w:snapToGrid w:val="0"/>
              <w:spacing w:line="276" w:lineRule="auto"/>
              <w:rPr>
                <w:rFonts w:ascii="宋体" w:hAnsi="宋体"/>
                <w:szCs w:val="21"/>
              </w:rPr>
            </w:pPr>
            <w:r>
              <w:rPr>
                <w:rFonts w:ascii="宋体" w:hAnsi="宋体"/>
                <w:szCs w:val="21"/>
              </w:rPr>
              <w:t>6</w:t>
            </w:r>
            <w:r>
              <w:rPr>
                <w:rFonts w:hint="eastAsia" w:ascii="宋体" w:hAnsi="宋体"/>
                <w:szCs w:val="21"/>
              </w:rPr>
              <w:t>.楼梯扶手、玻璃栏杆节点详图；</w:t>
            </w:r>
          </w:p>
          <w:p w14:paraId="04791969">
            <w:pPr>
              <w:snapToGrid w:val="0"/>
              <w:spacing w:line="276" w:lineRule="auto"/>
              <w:rPr>
                <w:rFonts w:ascii="宋体" w:hAnsi="宋体"/>
                <w:szCs w:val="21"/>
              </w:rPr>
            </w:pPr>
            <w:r>
              <w:rPr>
                <w:rFonts w:ascii="宋体" w:hAnsi="宋体"/>
                <w:szCs w:val="21"/>
              </w:rPr>
              <w:t>7</w:t>
            </w:r>
            <w:r>
              <w:rPr>
                <w:rFonts w:hint="eastAsia" w:ascii="宋体" w:hAnsi="宋体"/>
                <w:szCs w:val="21"/>
              </w:rPr>
              <w:t>.镜面、玻璃安装详图；</w:t>
            </w:r>
          </w:p>
          <w:p w14:paraId="6B8890B7">
            <w:pPr>
              <w:snapToGrid w:val="0"/>
              <w:spacing w:line="276" w:lineRule="auto"/>
              <w:rPr>
                <w:rFonts w:ascii="宋体" w:hAnsi="宋体"/>
                <w:szCs w:val="21"/>
              </w:rPr>
            </w:pPr>
            <w:r>
              <w:rPr>
                <w:rFonts w:ascii="宋体" w:hAnsi="宋体"/>
                <w:szCs w:val="21"/>
              </w:rPr>
              <w:t>8</w:t>
            </w:r>
            <w:r>
              <w:rPr>
                <w:rFonts w:hint="eastAsia" w:ascii="宋体" w:hAnsi="宋体"/>
                <w:szCs w:val="21"/>
              </w:rPr>
              <w:t>.墙面干挂钢结构详图；</w:t>
            </w:r>
          </w:p>
          <w:p w14:paraId="3BC8C297">
            <w:pPr>
              <w:snapToGrid w:val="0"/>
              <w:spacing w:line="276" w:lineRule="auto"/>
              <w:rPr>
                <w:rFonts w:ascii="宋体" w:hAnsi="宋体"/>
                <w:szCs w:val="21"/>
              </w:rPr>
            </w:pPr>
            <w:r>
              <w:rPr>
                <w:rFonts w:ascii="宋体" w:hAnsi="宋体"/>
                <w:szCs w:val="21"/>
              </w:rPr>
              <w:t>9</w:t>
            </w:r>
            <w:r>
              <w:rPr>
                <w:rFonts w:hint="eastAsia" w:ascii="宋体" w:hAnsi="宋体"/>
                <w:szCs w:val="21"/>
              </w:rPr>
              <w:t>.钢材、螺栓及其它配件标注情况；</w:t>
            </w:r>
          </w:p>
          <w:p w14:paraId="5BB6DCA1">
            <w:pPr>
              <w:snapToGrid w:val="0"/>
              <w:spacing w:line="276" w:lineRule="auto"/>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.变形缝节点详图；</w:t>
            </w:r>
          </w:p>
          <w:p w14:paraId="3B98779D">
            <w:pPr>
              <w:snapToGrid w:val="0"/>
              <w:spacing w:line="276" w:lineRule="auto"/>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.改动建筑主体、承重结构、增加结构荷载设计图纸；</w:t>
            </w:r>
          </w:p>
          <w:p w14:paraId="38D8B878">
            <w:pPr>
              <w:snapToGrid w:val="0"/>
              <w:spacing w:line="276" w:lineRule="auto"/>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.落地窗处防护处理节点；</w:t>
            </w:r>
          </w:p>
          <w:p w14:paraId="775C5AA3">
            <w:pPr>
              <w:snapToGrid w:val="0"/>
              <w:spacing w:line="276" w:lineRule="auto"/>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.石材消火箱门构造节点详图；</w:t>
            </w:r>
          </w:p>
          <w:p w14:paraId="343E7880">
            <w:pPr>
              <w:snapToGrid w:val="0"/>
              <w:spacing w:line="276" w:lineRule="auto"/>
              <w:rPr>
                <w:rFonts w:ascii="宋体" w:hAnsi="宋体"/>
                <w:szCs w:val="21"/>
              </w:rPr>
            </w:pPr>
            <w:r>
              <w:rPr>
                <w:rFonts w:hint="eastAsia" w:ascii="宋体" w:hAnsi="宋体"/>
                <w:szCs w:val="21"/>
              </w:rPr>
              <w:t>1</w:t>
            </w:r>
            <w:r>
              <w:rPr>
                <w:rFonts w:ascii="宋体" w:hAnsi="宋体"/>
                <w:szCs w:val="21"/>
              </w:rPr>
              <w:t>4.</w:t>
            </w:r>
            <w:r>
              <w:rPr>
                <w:rFonts w:hint="eastAsia" w:ascii="宋体" w:hAnsi="宋体"/>
                <w:szCs w:val="21"/>
              </w:rPr>
              <w:t>超高吊顶增加钢转换层详图；</w:t>
            </w:r>
          </w:p>
          <w:p w14:paraId="34B75CB8">
            <w:pPr>
              <w:snapToGrid w:val="0"/>
              <w:spacing w:line="276" w:lineRule="auto"/>
              <w:rPr>
                <w:rFonts w:ascii="宋体" w:hAnsi="宋体"/>
                <w:szCs w:val="21"/>
              </w:rPr>
            </w:pPr>
            <w:r>
              <w:rPr>
                <w:rFonts w:hint="eastAsia" w:ascii="宋体" w:hAnsi="宋体"/>
                <w:szCs w:val="21"/>
              </w:rPr>
              <w:t>1</w:t>
            </w:r>
            <w:r>
              <w:rPr>
                <w:rFonts w:ascii="宋体" w:hAnsi="宋体"/>
                <w:szCs w:val="21"/>
              </w:rPr>
              <w:t>5.</w:t>
            </w:r>
            <w:r>
              <w:rPr>
                <w:rFonts w:hint="eastAsia" w:ascii="宋体" w:hAnsi="宋体"/>
                <w:szCs w:val="21"/>
              </w:rPr>
              <w:t>卫生间钢架节点图；</w:t>
            </w:r>
          </w:p>
          <w:p w14:paraId="38DE63B8">
            <w:pPr>
              <w:snapToGrid w:val="0"/>
              <w:spacing w:line="276" w:lineRule="auto"/>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其他强制性条文要求。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BD85576">
            <w:pPr>
              <w:pStyle w:val="6"/>
              <w:snapToGrid w:val="0"/>
              <w:spacing w:line="288" w:lineRule="auto"/>
              <w:ind w:firstLine="0" w:firstLineChars="0"/>
              <w:rPr>
                <w:rFonts w:ascii="宋体" w:hAnsi="宋体"/>
                <w:szCs w:val="21"/>
              </w:rPr>
            </w:pPr>
            <w:r>
              <w:rPr>
                <w:rFonts w:hint="eastAsia" w:ascii="宋体" w:hAnsi="宋体"/>
                <w:szCs w:val="21"/>
              </w:rPr>
              <w:t>1</w:t>
            </w:r>
            <w:r>
              <w:rPr>
                <w:rFonts w:ascii="宋体" w:hAnsi="宋体"/>
                <w:szCs w:val="21"/>
              </w:rPr>
              <w:t>.一般性</w:t>
            </w:r>
            <w:r>
              <w:rPr>
                <w:rFonts w:hint="eastAsia" w:ascii="宋体" w:hAnsi="宋体"/>
                <w:szCs w:val="21"/>
              </w:rPr>
              <w:t>缺</w:t>
            </w:r>
            <w:r>
              <w:rPr>
                <w:rFonts w:ascii="宋体" w:hAnsi="宋体"/>
                <w:szCs w:val="21"/>
              </w:rPr>
              <w:t>项每项扣</w:t>
            </w:r>
            <w:r>
              <w:rPr>
                <w:rFonts w:hint="eastAsia" w:ascii="宋体" w:hAnsi="宋体"/>
                <w:szCs w:val="21"/>
              </w:rPr>
              <w:t>0.1-</w:t>
            </w:r>
            <w:r>
              <w:rPr>
                <w:rFonts w:ascii="宋体" w:hAnsi="宋体"/>
                <w:szCs w:val="21"/>
              </w:rPr>
              <w:t>0.2</w:t>
            </w:r>
            <w:r>
              <w:rPr>
                <w:rFonts w:hint="eastAsia" w:ascii="宋体" w:hAnsi="宋体"/>
                <w:szCs w:val="21"/>
              </w:rPr>
              <w:t>分；</w:t>
            </w:r>
          </w:p>
          <w:p w14:paraId="034A04C0">
            <w:pPr>
              <w:pStyle w:val="6"/>
              <w:snapToGrid w:val="0"/>
              <w:spacing w:line="288" w:lineRule="auto"/>
              <w:ind w:firstLine="0" w:firstLineChars="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重点缺项</w:t>
            </w:r>
            <w:r>
              <w:rPr>
                <w:rFonts w:ascii="宋体" w:hAnsi="宋体"/>
                <w:szCs w:val="21"/>
              </w:rPr>
              <w:t>每项</w:t>
            </w:r>
            <w:r>
              <w:rPr>
                <w:rFonts w:hint="eastAsia" w:ascii="宋体" w:hAnsi="宋体"/>
                <w:szCs w:val="21"/>
              </w:rPr>
              <w:t>扣0.2-</w:t>
            </w:r>
            <w:r>
              <w:rPr>
                <w:rFonts w:ascii="宋体" w:hAnsi="宋体"/>
                <w:szCs w:val="21"/>
              </w:rPr>
              <w:t>0.5</w:t>
            </w:r>
            <w:r>
              <w:rPr>
                <w:rFonts w:hint="eastAsia" w:ascii="宋体" w:hAnsi="宋体"/>
                <w:szCs w:val="21"/>
              </w:rPr>
              <w:t>分</w:t>
            </w:r>
          </w:p>
        </w:tc>
        <w:tc>
          <w:tcPr>
            <w:tcW w:w="1701" w:type="dxa"/>
            <w:tcBorders>
              <w:left w:val="single" w:color="auto" w:sz="4" w:space="0"/>
              <w:bottom w:val="single" w:color="auto" w:sz="4" w:space="0"/>
              <w:right w:val="single" w:color="auto" w:sz="4" w:space="0"/>
            </w:tcBorders>
            <w:noWrap w:val="0"/>
            <w:vAlign w:val="center"/>
          </w:tcPr>
          <w:p w14:paraId="6F738116">
            <w:pPr>
              <w:snapToGrid w:val="0"/>
              <w:spacing w:line="288" w:lineRule="auto"/>
              <w:jc w:val="center"/>
              <w:rPr>
                <w:rFonts w:ascii="宋体" w:hAnsi="宋体"/>
                <w:szCs w:val="21"/>
              </w:rPr>
            </w:pPr>
          </w:p>
        </w:tc>
        <w:tc>
          <w:tcPr>
            <w:tcW w:w="851" w:type="dxa"/>
            <w:vMerge w:val="continue"/>
            <w:tcBorders>
              <w:left w:val="single" w:color="auto" w:sz="4" w:space="0"/>
              <w:bottom w:val="single" w:color="auto" w:sz="4" w:space="0"/>
              <w:right w:val="single" w:color="auto" w:sz="4" w:space="0"/>
            </w:tcBorders>
            <w:noWrap w:val="0"/>
            <w:vAlign w:val="center"/>
          </w:tcPr>
          <w:p w14:paraId="31020C2D">
            <w:pPr>
              <w:snapToGrid w:val="0"/>
              <w:spacing w:line="288" w:lineRule="auto"/>
              <w:jc w:val="center"/>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10957CB">
            <w:pPr>
              <w:snapToGrid w:val="0"/>
              <w:spacing w:line="288" w:lineRule="auto"/>
              <w:rPr>
                <w:rFonts w:ascii="宋体" w:hAnsi="宋体"/>
                <w:szCs w:val="21"/>
              </w:rPr>
            </w:pPr>
            <w:r>
              <w:rPr>
                <w:rFonts w:hint="eastAsia" w:ascii="宋体" w:hAnsi="宋体"/>
                <w:szCs w:val="21"/>
              </w:rPr>
              <w:t>结合工程实体查相关资料</w:t>
            </w:r>
          </w:p>
        </w:tc>
      </w:tr>
      <w:tr w14:paraId="75F0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772" w:type="dxa"/>
            <w:vMerge w:val="restart"/>
            <w:tcBorders>
              <w:left w:val="single" w:color="auto" w:sz="4" w:space="0"/>
              <w:right w:val="single" w:color="auto" w:sz="4" w:space="0"/>
            </w:tcBorders>
            <w:noWrap w:val="0"/>
            <w:vAlign w:val="center"/>
          </w:tcPr>
          <w:p w14:paraId="485E0A56">
            <w:pPr>
              <w:snapToGrid w:val="0"/>
              <w:spacing w:line="288" w:lineRule="auto"/>
              <w:jc w:val="center"/>
              <w:rPr>
                <w:rFonts w:ascii="宋体" w:hAnsi="宋体"/>
                <w:szCs w:val="21"/>
              </w:rPr>
            </w:pPr>
            <w:r>
              <w:rPr>
                <w:rFonts w:hint="eastAsia" w:ascii="宋体" w:hAnsi="宋体"/>
                <w:szCs w:val="21"/>
              </w:rPr>
              <w:t>2</w:t>
            </w:r>
          </w:p>
        </w:tc>
        <w:tc>
          <w:tcPr>
            <w:tcW w:w="1218" w:type="dxa"/>
            <w:vMerge w:val="restart"/>
            <w:tcBorders>
              <w:top w:val="single" w:color="auto" w:sz="4" w:space="0"/>
              <w:left w:val="single" w:color="auto" w:sz="4" w:space="0"/>
              <w:right w:val="single" w:color="auto" w:sz="4" w:space="0"/>
            </w:tcBorders>
            <w:noWrap w:val="0"/>
            <w:vAlign w:val="center"/>
          </w:tcPr>
          <w:p w14:paraId="378ED1BA">
            <w:pPr>
              <w:snapToGrid w:val="0"/>
              <w:spacing w:line="240" w:lineRule="exact"/>
              <w:rPr>
                <w:rFonts w:ascii="宋体" w:hAnsi="宋体"/>
                <w:szCs w:val="21"/>
              </w:rPr>
            </w:pPr>
            <w:r>
              <w:rPr>
                <w:rFonts w:hint="eastAsia" w:ascii="宋体" w:hAnsi="宋体"/>
                <w:szCs w:val="21"/>
              </w:rPr>
              <w:t>工程实体</w:t>
            </w:r>
          </w:p>
        </w:tc>
        <w:tc>
          <w:tcPr>
            <w:tcW w:w="5656" w:type="dxa"/>
            <w:tcBorders>
              <w:top w:val="single" w:color="auto" w:sz="4" w:space="0"/>
              <w:left w:val="single" w:color="auto" w:sz="4" w:space="0"/>
              <w:right w:val="single" w:color="auto" w:sz="4" w:space="0"/>
            </w:tcBorders>
            <w:noWrap w:val="0"/>
            <w:vAlign w:val="center"/>
          </w:tcPr>
          <w:p w14:paraId="5C3DE723">
            <w:pPr>
              <w:snapToGrid w:val="0"/>
              <w:spacing w:line="276" w:lineRule="auto"/>
              <w:rPr>
                <w:rFonts w:ascii="黑体" w:hAnsi="黑体" w:eastAsia="黑体"/>
                <w:szCs w:val="21"/>
              </w:rPr>
            </w:pPr>
            <w:r>
              <w:rPr>
                <w:rFonts w:hint="eastAsia" w:ascii="黑体" w:hAnsi="黑体" w:eastAsia="黑体"/>
                <w:szCs w:val="21"/>
              </w:rPr>
              <w:t>整体装饰效果：</w:t>
            </w:r>
          </w:p>
          <w:p w14:paraId="2074CAB0">
            <w:pPr>
              <w:snapToGrid w:val="0"/>
              <w:spacing w:line="276" w:lineRule="auto"/>
              <w:rPr>
                <w:rFonts w:ascii="宋体" w:hAnsi="宋体"/>
                <w:szCs w:val="21"/>
              </w:rPr>
            </w:pPr>
            <w:r>
              <w:rPr>
                <w:rFonts w:hint="eastAsia" w:ascii="宋体" w:hAnsi="宋体"/>
                <w:szCs w:val="21"/>
              </w:rPr>
              <w:t>1.整体装饰效果主要涉及工程的设计风格，空间运用，材质品质、颜色搭配等内容，是否能给人耳目一新或记忆深刻的综合观感效果；</w:t>
            </w:r>
          </w:p>
          <w:p w14:paraId="39BE7DD3">
            <w:pPr>
              <w:snapToGrid w:val="0"/>
              <w:spacing w:line="276" w:lineRule="auto"/>
              <w:rPr>
                <w:rFonts w:ascii="宋体" w:hAnsi="宋体"/>
                <w:szCs w:val="21"/>
              </w:rPr>
            </w:pPr>
            <w:r>
              <w:rPr>
                <w:rFonts w:hint="eastAsia" w:ascii="宋体" w:hAnsi="宋体"/>
                <w:szCs w:val="21"/>
              </w:rPr>
              <w:t>2.充分体现节能的设计理念，如绿色照明技术应用（节能灯）等节能、节水、节材、节地设计，充分利用自然资源的设计。</w:t>
            </w:r>
          </w:p>
        </w:tc>
        <w:tc>
          <w:tcPr>
            <w:tcW w:w="1843" w:type="dxa"/>
            <w:tcBorders>
              <w:top w:val="single" w:color="auto" w:sz="4" w:space="0"/>
              <w:left w:val="single" w:color="auto" w:sz="4" w:space="0"/>
              <w:right w:val="single" w:color="auto" w:sz="4" w:space="0"/>
            </w:tcBorders>
            <w:noWrap w:val="0"/>
            <w:vAlign w:val="center"/>
          </w:tcPr>
          <w:p w14:paraId="10F6AEB5">
            <w:pPr>
              <w:snapToGrid w:val="0"/>
              <w:spacing w:line="288" w:lineRule="auto"/>
              <w:jc w:val="left"/>
              <w:rPr>
                <w:rFonts w:ascii="宋体" w:hAnsi="宋体"/>
                <w:szCs w:val="21"/>
              </w:rPr>
            </w:pPr>
            <w:r>
              <w:rPr>
                <w:rFonts w:ascii="宋体" w:hAnsi="宋体"/>
                <w:szCs w:val="21"/>
              </w:rPr>
              <w:t>效果</w:t>
            </w:r>
            <w:r>
              <w:rPr>
                <w:rFonts w:hint="eastAsia" w:ascii="宋体" w:hAnsi="宋体"/>
                <w:szCs w:val="21"/>
              </w:rPr>
              <w:t>欠佳扣1-</w:t>
            </w:r>
            <w:r>
              <w:rPr>
                <w:rFonts w:ascii="宋体" w:hAnsi="宋体"/>
                <w:szCs w:val="21"/>
              </w:rPr>
              <w:t>5</w:t>
            </w:r>
            <w:r>
              <w:rPr>
                <w:rFonts w:hint="eastAsia" w:ascii="宋体" w:hAnsi="宋体"/>
                <w:szCs w:val="21"/>
              </w:rPr>
              <w:t>分</w:t>
            </w:r>
          </w:p>
        </w:tc>
        <w:tc>
          <w:tcPr>
            <w:tcW w:w="1701" w:type="dxa"/>
            <w:tcBorders>
              <w:top w:val="single" w:color="auto" w:sz="4" w:space="0"/>
              <w:left w:val="single" w:color="auto" w:sz="4" w:space="0"/>
              <w:right w:val="single" w:color="auto" w:sz="4" w:space="0"/>
            </w:tcBorders>
            <w:noWrap w:val="0"/>
            <w:vAlign w:val="center"/>
          </w:tcPr>
          <w:p w14:paraId="7ADB1AEE">
            <w:pPr>
              <w:snapToGrid w:val="0"/>
              <w:spacing w:line="288" w:lineRule="auto"/>
              <w:ind w:firstLine="420" w:firstLineChars="200"/>
              <w:jc w:val="left"/>
              <w:rPr>
                <w:rFonts w:ascii="宋体" w:hAnsi="宋体"/>
                <w:szCs w:val="21"/>
              </w:rPr>
            </w:pPr>
          </w:p>
        </w:tc>
        <w:tc>
          <w:tcPr>
            <w:tcW w:w="851" w:type="dxa"/>
            <w:vMerge w:val="restart"/>
            <w:tcBorders>
              <w:top w:val="single" w:color="auto" w:sz="4" w:space="0"/>
              <w:left w:val="single" w:color="auto" w:sz="4" w:space="0"/>
              <w:right w:val="single" w:color="auto" w:sz="4" w:space="0"/>
            </w:tcBorders>
            <w:noWrap w:val="0"/>
            <w:vAlign w:val="center"/>
          </w:tcPr>
          <w:p w14:paraId="0E6E2FEE">
            <w:pPr>
              <w:snapToGrid w:val="0"/>
              <w:spacing w:line="288" w:lineRule="auto"/>
              <w:jc w:val="center"/>
              <w:rPr>
                <w:rFonts w:ascii="宋体" w:hAnsi="宋体"/>
                <w:szCs w:val="21"/>
              </w:rPr>
            </w:pPr>
            <w:r>
              <w:rPr>
                <w:rFonts w:hint="eastAsia" w:ascii="宋体" w:hAnsi="宋体"/>
                <w:szCs w:val="21"/>
              </w:rPr>
              <w:t>65分</w:t>
            </w:r>
          </w:p>
        </w:tc>
        <w:tc>
          <w:tcPr>
            <w:tcW w:w="2268" w:type="dxa"/>
            <w:tcBorders>
              <w:top w:val="single" w:color="auto" w:sz="4" w:space="0"/>
              <w:left w:val="single" w:color="auto" w:sz="4" w:space="0"/>
              <w:right w:val="single" w:color="auto" w:sz="4" w:space="0"/>
            </w:tcBorders>
            <w:noWrap w:val="0"/>
            <w:vAlign w:val="center"/>
          </w:tcPr>
          <w:p w14:paraId="1F7D6BCA">
            <w:pPr>
              <w:snapToGrid w:val="0"/>
              <w:spacing w:line="288" w:lineRule="auto"/>
              <w:rPr>
                <w:rFonts w:ascii="宋体" w:hAnsi="宋体"/>
                <w:szCs w:val="21"/>
              </w:rPr>
            </w:pPr>
            <w:r>
              <w:rPr>
                <w:rFonts w:hint="eastAsia" w:ascii="宋体" w:hAnsi="宋体"/>
                <w:szCs w:val="21"/>
              </w:rPr>
              <w:t>实体拍照，结合综合观感效果进行评价。</w:t>
            </w:r>
          </w:p>
        </w:tc>
      </w:tr>
      <w:tr w14:paraId="4C38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trPr>
        <w:tc>
          <w:tcPr>
            <w:tcW w:w="772" w:type="dxa"/>
            <w:vMerge w:val="continue"/>
            <w:tcBorders>
              <w:left w:val="single" w:color="auto" w:sz="4" w:space="0"/>
              <w:right w:val="single" w:color="auto" w:sz="4" w:space="0"/>
            </w:tcBorders>
            <w:noWrap w:val="0"/>
            <w:vAlign w:val="center"/>
          </w:tcPr>
          <w:p w14:paraId="2AD7B6E8">
            <w:pPr>
              <w:snapToGrid w:val="0"/>
              <w:spacing w:line="288" w:lineRule="auto"/>
              <w:jc w:val="center"/>
              <w:rPr>
                <w:rFonts w:ascii="宋体" w:hAnsi="宋体"/>
                <w:szCs w:val="21"/>
              </w:rPr>
            </w:pPr>
          </w:p>
        </w:tc>
        <w:tc>
          <w:tcPr>
            <w:tcW w:w="1218" w:type="dxa"/>
            <w:vMerge w:val="continue"/>
            <w:tcBorders>
              <w:left w:val="single" w:color="auto" w:sz="4" w:space="0"/>
              <w:right w:val="single" w:color="auto" w:sz="4" w:space="0"/>
            </w:tcBorders>
            <w:noWrap w:val="0"/>
            <w:vAlign w:val="center"/>
          </w:tcPr>
          <w:p w14:paraId="31ED54B4">
            <w:pPr>
              <w:snapToGrid w:val="0"/>
              <w:spacing w:line="240" w:lineRule="exact"/>
              <w:rPr>
                <w:rFonts w:ascii="宋体" w:hAnsi="宋体"/>
                <w:szCs w:val="21"/>
              </w:rPr>
            </w:pPr>
          </w:p>
        </w:tc>
        <w:tc>
          <w:tcPr>
            <w:tcW w:w="5656" w:type="dxa"/>
            <w:tcBorders>
              <w:top w:val="single" w:color="auto" w:sz="4" w:space="0"/>
              <w:left w:val="single" w:color="auto" w:sz="4" w:space="0"/>
              <w:bottom w:val="single" w:color="auto" w:sz="4" w:space="0"/>
              <w:right w:val="single" w:color="auto" w:sz="4" w:space="0"/>
            </w:tcBorders>
            <w:noWrap w:val="0"/>
            <w:vAlign w:val="center"/>
          </w:tcPr>
          <w:p w14:paraId="4F6B0455">
            <w:pPr>
              <w:snapToGrid w:val="0"/>
              <w:spacing w:line="240" w:lineRule="exact"/>
              <w:jc w:val="left"/>
              <w:rPr>
                <w:rFonts w:ascii="黑体" w:hAnsi="黑体" w:eastAsia="黑体"/>
                <w:szCs w:val="21"/>
              </w:rPr>
            </w:pPr>
            <w:r>
              <w:rPr>
                <w:rFonts w:hint="eastAsia" w:ascii="黑体" w:hAnsi="黑体" w:eastAsia="黑体"/>
                <w:szCs w:val="21"/>
              </w:rPr>
              <w:t>顶面工程：</w:t>
            </w:r>
          </w:p>
          <w:p w14:paraId="34A4BF2E">
            <w:pPr>
              <w:spacing w:line="276" w:lineRule="auto"/>
              <w:rPr>
                <w:rFonts w:ascii="宋体" w:hAnsi="宋体"/>
                <w:szCs w:val="21"/>
              </w:rPr>
            </w:pPr>
            <w:r>
              <w:rPr>
                <w:rFonts w:hint="eastAsia" w:ascii="宋体" w:hAnsi="宋体"/>
                <w:szCs w:val="21"/>
              </w:rPr>
              <w:t>一、一般观感</w:t>
            </w:r>
          </w:p>
          <w:p w14:paraId="58D1825D">
            <w:pPr>
              <w:spacing w:line="276" w:lineRule="auto"/>
              <w:rPr>
                <w:rFonts w:ascii="宋体" w:hAnsi="宋体"/>
                <w:szCs w:val="21"/>
              </w:rPr>
            </w:pPr>
            <w:r>
              <w:rPr>
                <w:rFonts w:hint="eastAsia" w:ascii="宋体" w:hAnsi="宋体"/>
                <w:szCs w:val="21"/>
              </w:rPr>
              <w:t>1.</w:t>
            </w:r>
            <w:r>
              <w:rPr>
                <w:rFonts w:hint="eastAsia" w:ascii="宋体" w:hAnsi="宋体"/>
                <w:spacing w:val="-6"/>
                <w:szCs w:val="21"/>
              </w:rPr>
              <w:t>吊顶各种终端设备未做整体规划，位置零乱影响美观，与面板交接不严，检修口未做收边处理或收口粗糙不协调；</w:t>
            </w:r>
          </w:p>
          <w:p w14:paraId="63E0FE71">
            <w:pPr>
              <w:spacing w:line="276" w:lineRule="auto"/>
              <w:rPr>
                <w:rFonts w:ascii="宋体" w:hAnsi="宋体"/>
                <w:szCs w:val="21"/>
              </w:rPr>
            </w:pPr>
            <w:r>
              <w:rPr>
                <w:rFonts w:hint="eastAsia" w:ascii="宋体" w:hAnsi="宋体"/>
                <w:szCs w:val="21"/>
              </w:rPr>
              <w:t>2.阴阳角不方正，收口收边不严密、不顺直；</w:t>
            </w:r>
          </w:p>
          <w:p w14:paraId="69D2A882">
            <w:pPr>
              <w:spacing w:line="276" w:lineRule="auto"/>
              <w:rPr>
                <w:rFonts w:ascii="宋体" w:hAnsi="宋体"/>
                <w:szCs w:val="21"/>
              </w:rPr>
            </w:pPr>
            <w:r>
              <w:rPr>
                <w:rFonts w:hint="eastAsia" w:ascii="宋体" w:hAnsi="宋体"/>
                <w:szCs w:val="21"/>
              </w:rPr>
              <w:t>3.灯槽断光、灯管裸露、泛光不均；</w:t>
            </w:r>
          </w:p>
          <w:p w14:paraId="6688B65F">
            <w:pPr>
              <w:spacing w:line="276" w:lineRule="auto"/>
              <w:rPr>
                <w:rFonts w:ascii="宋体" w:hAnsi="宋体"/>
                <w:szCs w:val="21"/>
              </w:rPr>
            </w:pPr>
            <w:r>
              <w:rPr>
                <w:rFonts w:hint="eastAsia" w:ascii="宋体" w:hAnsi="宋体"/>
                <w:szCs w:val="21"/>
              </w:rPr>
              <w:t>4.灯具、探头、摄像头安装位置不正确，未成排成行，接线不正确；</w:t>
            </w:r>
          </w:p>
          <w:p w14:paraId="4BC8DEEB">
            <w:pPr>
              <w:spacing w:line="276" w:lineRule="auto"/>
              <w:rPr>
                <w:rFonts w:ascii="宋体" w:hAnsi="宋体"/>
                <w:szCs w:val="21"/>
              </w:rPr>
            </w:pPr>
            <w:r>
              <w:rPr>
                <w:rFonts w:hint="eastAsia" w:ascii="宋体" w:hAnsi="宋体"/>
                <w:szCs w:val="21"/>
              </w:rPr>
              <w:t>5.喷淋、风口安装位置不正确，不成排成行。</w:t>
            </w:r>
          </w:p>
          <w:p w14:paraId="3CDB03A5">
            <w:pPr>
              <w:spacing w:line="276" w:lineRule="auto"/>
              <w:rPr>
                <w:rFonts w:ascii="宋体" w:hAnsi="宋体"/>
                <w:szCs w:val="21"/>
              </w:rPr>
            </w:pPr>
            <w:r>
              <w:rPr>
                <w:rFonts w:hint="eastAsia" w:ascii="宋体" w:hAnsi="宋体"/>
                <w:szCs w:val="21"/>
              </w:rPr>
              <w:t>二、石膏板吊顶</w:t>
            </w:r>
          </w:p>
          <w:p w14:paraId="7C1C886B">
            <w:pPr>
              <w:spacing w:line="276" w:lineRule="auto"/>
              <w:rPr>
                <w:rFonts w:ascii="宋体" w:hAnsi="宋体"/>
                <w:szCs w:val="21"/>
              </w:rPr>
            </w:pPr>
            <w:r>
              <w:rPr>
                <w:rFonts w:hint="eastAsia" w:ascii="宋体" w:hAnsi="宋体"/>
                <w:szCs w:val="21"/>
              </w:rPr>
              <w:t>1.板面裂缝或修痕明显，表面不平整、变形；</w:t>
            </w:r>
          </w:p>
          <w:p w14:paraId="50778115">
            <w:pPr>
              <w:spacing w:line="276" w:lineRule="auto"/>
              <w:rPr>
                <w:rFonts w:ascii="宋体" w:hAnsi="宋体"/>
                <w:szCs w:val="21"/>
              </w:rPr>
            </w:pPr>
            <w:r>
              <w:rPr>
                <w:rFonts w:hint="eastAsia" w:ascii="宋体" w:hAnsi="宋体"/>
                <w:szCs w:val="21"/>
              </w:rPr>
              <w:t>2.造型吊顶不平直，侧板不通顺垂直，曲面吊顶不顺畅。</w:t>
            </w:r>
          </w:p>
          <w:p w14:paraId="44BA4297">
            <w:pPr>
              <w:spacing w:line="276" w:lineRule="auto"/>
              <w:rPr>
                <w:rFonts w:ascii="宋体" w:hAnsi="宋体"/>
                <w:szCs w:val="21"/>
              </w:rPr>
            </w:pPr>
            <w:r>
              <w:rPr>
                <w:rFonts w:hint="eastAsia" w:ascii="宋体" w:hAnsi="宋体"/>
                <w:szCs w:val="21"/>
              </w:rPr>
              <w:t>三、金属板吊顶</w:t>
            </w:r>
          </w:p>
          <w:p w14:paraId="4AC608FC">
            <w:pPr>
              <w:spacing w:line="276" w:lineRule="auto"/>
              <w:rPr>
                <w:rFonts w:ascii="宋体" w:hAnsi="宋体"/>
                <w:szCs w:val="21"/>
              </w:rPr>
            </w:pPr>
            <w:r>
              <w:rPr>
                <w:rFonts w:hint="eastAsia" w:ascii="宋体" w:hAnsi="宋体"/>
                <w:szCs w:val="21"/>
              </w:rPr>
              <w:t>1.板块安装不平，板缝不顺直、宽窄不均；</w:t>
            </w:r>
          </w:p>
          <w:p w14:paraId="472204AE">
            <w:pPr>
              <w:spacing w:line="276" w:lineRule="auto"/>
              <w:rPr>
                <w:rFonts w:ascii="宋体" w:hAnsi="宋体"/>
                <w:szCs w:val="21"/>
              </w:rPr>
            </w:pPr>
            <w:r>
              <w:rPr>
                <w:rFonts w:hint="eastAsia" w:ascii="宋体" w:hAnsi="宋体"/>
                <w:szCs w:val="21"/>
              </w:rPr>
              <w:t>2.板面下挠变形明显，板面不洁净，机电终端设备安装不居板中；</w:t>
            </w:r>
          </w:p>
          <w:p w14:paraId="2FF787AF">
            <w:pPr>
              <w:spacing w:line="276" w:lineRule="auto"/>
              <w:rPr>
                <w:rFonts w:ascii="宋体" w:hAnsi="宋体"/>
                <w:szCs w:val="21"/>
              </w:rPr>
            </w:pPr>
            <w:r>
              <w:rPr>
                <w:rFonts w:hint="eastAsia" w:ascii="宋体" w:hAnsi="宋体"/>
                <w:szCs w:val="21"/>
              </w:rPr>
              <w:t>3.边龙骨不顺直，与板面接触不实。</w:t>
            </w:r>
          </w:p>
          <w:p w14:paraId="56714E45">
            <w:pPr>
              <w:spacing w:line="276" w:lineRule="auto"/>
              <w:rPr>
                <w:rFonts w:ascii="宋体" w:hAnsi="宋体"/>
                <w:szCs w:val="21"/>
              </w:rPr>
            </w:pPr>
            <w:r>
              <w:rPr>
                <w:rFonts w:hint="eastAsia" w:ascii="宋体" w:hAnsi="宋体"/>
                <w:szCs w:val="21"/>
              </w:rPr>
              <w:t>四、块材吊顶</w:t>
            </w:r>
          </w:p>
          <w:p w14:paraId="6909C195">
            <w:pPr>
              <w:spacing w:line="276" w:lineRule="auto"/>
              <w:rPr>
                <w:rFonts w:ascii="宋体" w:hAnsi="宋体"/>
                <w:szCs w:val="21"/>
              </w:rPr>
            </w:pPr>
            <w:r>
              <w:rPr>
                <w:rFonts w:hint="eastAsia" w:ascii="宋体" w:hAnsi="宋体"/>
                <w:szCs w:val="21"/>
              </w:rPr>
              <w:t>1.板面安装不严密、板缝不均匀，收口条翘曲不平；</w:t>
            </w:r>
          </w:p>
          <w:p w14:paraId="70EA0CBC">
            <w:pPr>
              <w:spacing w:line="276" w:lineRule="auto"/>
              <w:rPr>
                <w:rFonts w:ascii="宋体" w:hAnsi="宋体"/>
                <w:szCs w:val="21"/>
              </w:rPr>
            </w:pPr>
            <w:r>
              <w:rPr>
                <w:rFonts w:hint="eastAsia" w:ascii="宋体" w:hAnsi="宋体"/>
                <w:szCs w:val="21"/>
              </w:rPr>
              <w:t>2.明龙骨不顺直，接缝不严密，机电终端设备安装不居板中。</w:t>
            </w:r>
          </w:p>
          <w:p w14:paraId="3CBD0696">
            <w:pPr>
              <w:spacing w:line="276" w:lineRule="auto"/>
              <w:rPr>
                <w:rFonts w:ascii="宋体" w:hAnsi="宋体"/>
                <w:szCs w:val="21"/>
              </w:rPr>
            </w:pPr>
            <w:r>
              <w:rPr>
                <w:rFonts w:hint="eastAsia" w:ascii="宋体" w:hAnsi="宋体"/>
                <w:szCs w:val="21"/>
              </w:rPr>
              <w:t>五、石材、玻璃吊顶</w:t>
            </w:r>
          </w:p>
          <w:p w14:paraId="26A6B91B">
            <w:pPr>
              <w:spacing w:line="276" w:lineRule="auto"/>
              <w:rPr>
                <w:rFonts w:ascii="宋体" w:hAnsi="宋体"/>
                <w:szCs w:val="21"/>
              </w:rPr>
            </w:pPr>
            <w:r>
              <w:rPr>
                <w:rFonts w:hint="eastAsia" w:ascii="宋体" w:hAnsi="宋体"/>
                <w:szCs w:val="21"/>
              </w:rPr>
              <w:t>1.玻璃吊顶安装不牢靠或未按规定使用安全玻璃，是否存在安全隐患</w:t>
            </w:r>
          </w:p>
          <w:p w14:paraId="1DF118CC">
            <w:pPr>
              <w:spacing w:line="276" w:lineRule="auto"/>
              <w:rPr>
                <w:rFonts w:ascii="宋体" w:hAnsi="宋体"/>
                <w:szCs w:val="21"/>
              </w:rPr>
            </w:pPr>
            <w:r>
              <w:rPr>
                <w:rFonts w:hint="eastAsia" w:ascii="宋体" w:hAnsi="宋体"/>
                <w:szCs w:val="21"/>
              </w:rPr>
              <w:t>2.石材吊顶安装不牢靠，是否存在安全隐患</w:t>
            </w:r>
          </w:p>
          <w:p w14:paraId="6B30677A">
            <w:pPr>
              <w:spacing w:line="276" w:lineRule="auto"/>
              <w:rPr>
                <w:rFonts w:ascii="宋体" w:hAnsi="宋体"/>
                <w:szCs w:val="21"/>
              </w:rPr>
            </w:pPr>
            <w:r>
              <w:rPr>
                <w:rFonts w:hint="eastAsia" w:ascii="宋体" w:hAnsi="宋体"/>
                <w:szCs w:val="21"/>
              </w:rPr>
              <w:t>3.图案花饰不连续、吊顶表面不洁净，接缝不严密。</w:t>
            </w:r>
          </w:p>
          <w:p w14:paraId="10A8691A">
            <w:pPr>
              <w:spacing w:line="276" w:lineRule="auto"/>
              <w:rPr>
                <w:rFonts w:ascii="宋体" w:hAnsi="宋体"/>
                <w:szCs w:val="21"/>
              </w:rPr>
            </w:pPr>
            <w:r>
              <w:rPr>
                <w:rFonts w:hint="eastAsia" w:ascii="宋体" w:hAnsi="宋体"/>
                <w:szCs w:val="21"/>
              </w:rPr>
              <w:t>六、转换层</w:t>
            </w:r>
          </w:p>
          <w:p w14:paraId="7F5A21AD">
            <w:pPr>
              <w:spacing w:line="276" w:lineRule="auto"/>
              <w:rPr>
                <w:rFonts w:ascii="宋体" w:hAnsi="宋体"/>
                <w:szCs w:val="21"/>
              </w:rPr>
            </w:pPr>
            <w:r>
              <w:rPr>
                <w:rFonts w:hint="eastAsia" w:ascii="宋体" w:hAnsi="宋体"/>
                <w:szCs w:val="21"/>
              </w:rPr>
              <w:t>钢结构转换层与网架及吊顶连接不符合要求，存在安全隐患。</w:t>
            </w:r>
          </w:p>
          <w:p w14:paraId="5F6DB06A">
            <w:pPr>
              <w:spacing w:line="276" w:lineRule="auto"/>
              <w:rPr>
                <w:rFonts w:ascii="宋体" w:hAnsi="宋体"/>
                <w:szCs w:val="21"/>
              </w:rPr>
            </w:pPr>
            <w:r>
              <w:rPr>
                <w:rFonts w:hint="eastAsia" w:ascii="宋体" w:hAnsi="宋体"/>
                <w:szCs w:val="21"/>
              </w:rPr>
              <w:t>七、重（大）型隔断</w:t>
            </w:r>
          </w:p>
          <w:p w14:paraId="16D1F54D">
            <w:pPr>
              <w:spacing w:line="276" w:lineRule="auto"/>
              <w:rPr>
                <w:rFonts w:ascii="宋体" w:hAnsi="宋体"/>
                <w:szCs w:val="21"/>
              </w:rPr>
            </w:pPr>
            <w:r>
              <w:rPr>
                <w:rFonts w:hint="eastAsia" w:ascii="宋体" w:hAnsi="宋体"/>
                <w:szCs w:val="21"/>
              </w:rPr>
              <w:t>1.较大、较重活动隔断安装不牢固、存在安全隐患。</w:t>
            </w:r>
          </w:p>
          <w:p w14:paraId="6D52BF6A">
            <w:pPr>
              <w:spacing w:line="276" w:lineRule="auto"/>
              <w:rPr>
                <w:rFonts w:ascii="宋体" w:hAnsi="宋体"/>
                <w:szCs w:val="21"/>
              </w:rPr>
            </w:pPr>
            <w:r>
              <w:rPr>
                <w:rFonts w:hint="eastAsia" w:ascii="宋体" w:hAnsi="宋体"/>
                <w:szCs w:val="21"/>
              </w:rPr>
              <w:t>八、灯具</w:t>
            </w:r>
          </w:p>
          <w:p w14:paraId="2805D4EB">
            <w:pPr>
              <w:spacing w:line="276" w:lineRule="auto"/>
              <w:rPr>
                <w:rFonts w:ascii="宋体" w:hAnsi="宋体"/>
                <w:szCs w:val="21"/>
              </w:rPr>
            </w:pPr>
            <w:r>
              <w:rPr>
                <w:rFonts w:hint="eastAsia" w:ascii="宋体" w:hAnsi="宋体"/>
                <w:szCs w:val="21"/>
              </w:rPr>
              <w:t>1.大型灯具（大于10kg)安装不牢固、存在安全隐患；</w:t>
            </w:r>
          </w:p>
          <w:p w14:paraId="09A6EF7B">
            <w:pPr>
              <w:spacing w:line="276" w:lineRule="auto"/>
              <w:rPr>
                <w:rFonts w:ascii="宋体" w:hAnsi="宋体"/>
                <w:szCs w:val="21"/>
              </w:rPr>
            </w:pPr>
            <w:r>
              <w:rPr>
                <w:rFonts w:hint="eastAsia" w:ascii="宋体" w:hAnsi="宋体"/>
                <w:szCs w:val="21"/>
              </w:rPr>
              <w:t>2.I类灯具外露可导电部分（金属外壳）未接地。</w:t>
            </w:r>
          </w:p>
          <w:p w14:paraId="7C4CE270">
            <w:pPr>
              <w:spacing w:line="276" w:lineRule="auto"/>
              <w:rPr>
                <w:rFonts w:ascii="宋体" w:hAnsi="宋体"/>
                <w:szCs w:val="21"/>
              </w:rPr>
            </w:pPr>
            <w:r>
              <w:rPr>
                <w:rFonts w:hint="eastAsia" w:ascii="宋体" w:hAnsi="宋体"/>
                <w:szCs w:val="21"/>
              </w:rPr>
              <w:t>九、吊顶内部</w:t>
            </w:r>
          </w:p>
          <w:p w14:paraId="4DB99D68">
            <w:pPr>
              <w:spacing w:line="276" w:lineRule="auto"/>
              <w:ind w:left="19" w:hanging="18" w:hangingChars="9"/>
              <w:rPr>
                <w:rFonts w:ascii="宋体" w:hAnsi="宋体"/>
                <w:szCs w:val="21"/>
              </w:rPr>
            </w:pPr>
            <w:r>
              <w:rPr>
                <w:rFonts w:hint="eastAsia" w:ascii="宋体" w:hAnsi="宋体"/>
                <w:szCs w:val="21"/>
              </w:rPr>
              <w:t>1.吊顶内防火涂料的涂刷情况，吊杆超长未做刚性反支撑；龙骨设置间距不符合规范要求；</w:t>
            </w:r>
          </w:p>
          <w:p w14:paraId="2236AB43">
            <w:pPr>
              <w:tabs>
                <w:tab w:val="left" w:pos="360"/>
              </w:tabs>
              <w:spacing w:line="276"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机电设备未使用专用吊杆；有导线裸露；金属软管过长、脱落；管道未按规定涂刷；</w:t>
            </w:r>
          </w:p>
          <w:p w14:paraId="72A95B38">
            <w:pPr>
              <w:pStyle w:val="6"/>
              <w:tabs>
                <w:tab w:val="left" w:pos="360"/>
              </w:tabs>
              <w:spacing w:line="276" w:lineRule="auto"/>
              <w:ind w:firstLine="0" w:firstLineChars="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管道连接处麻头未清理干净；管道（风管）保温不严密；吊顶内防火分区不到位。</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1DC5188">
            <w:pPr>
              <w:pStyle w:val="6"/>
              <w:snapToGrid w:val="0"/>
              <w:spacing w:line="288" w:lineRule="auto"/>
              <w:ind w:firstLine="0" w:firstLineChars="0"/>
              <w:jc w:val="left"/>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违反强条的扣</w:t>
            </w:r>
            <w:r>
              <w:rPr>
                <w:rFonts w:ascii="宋体" w:hAnsi="宋体"/>
                <w:szCs w:val="21"/>
              </w:rPr>
              <w:t>5</w:t>
            </w:r>
            <w:r>
              <w:rPr>
                <w:rFonts w:hint="eastAsia" w:ascii="宋体" w:hAnsi="宋体"/>
                <w:szCs w:val="21"/>
              </w:rPr>
              <w:t>-2</w:t>
            </w:r>
            <w:r>
              <w:rPr>
                <w:rFonts w:ascii="宋体" w:hAnsi="宋体"/>
                <w:szCs w:val="21"/>
              </w:rPr>
              <w:t>0</w:t>
            </w:r>
            <w:r>
              <w:rPr>
                <w:rFonts w:hint="eastAsia" w:ascii="宋体" w:hAnsi="宋体"/>
                <w:szCs w:val="21"/>
              </w:rPr>
              <w:t>分；</w:t>
            </w:r>
          </w:p>
          <w:p w14:paraId="2846C92A">
            <w:pPr>
              <w:pStyle w:val="6"/>
              <w:snapToGrid w:val="0"/>
              <w:spacing w:line="288" w:lineRule="auto"/>
              <w:ind w:firstLine="0" w:firstLineChars="0"/>
              <w:jc w:val="left"/>
              <w:rPr>
                <w:rFonts w:ascii="宋体" w:hAnsi="宋体"/>
                <w:szCs w:val="21"/>
              </w:rPr>
            </w:pPr>
            <w:r>
              <w:rPr>
                <w:rFonts w:hint="eastAsia" w:ascii="宋体" w:hAnsi="宋体"/>
                <w:szCs w:val="21"/>
              </w:rPr>
              <w:t>2</w:t>
            </w:r>
            <w:r>
              <w:rPr>
                <w:rFonts w:ascii="宋体" w:hAnsi="宋体"/>
                <w:szCs w:val="21"/>
              </w:rPr>
              <w:t>.顶面工程存在质量缺陷的每项扣</w:t>
            </w:r>
            <w:r>
              <w:rPr>
                <w:rFonts w:hint="eastAsia" w:ascii="宋体" w:hAnsi="宋体"/>
                <w:szCs w:val="21"/>
              </w:rPr>
              <w:t>0.1-0.5分；</w:t>
            </w:r>
          </w:p>
          <w:p w14:paraId="49C53E29">
            <w:pPr>
              <w:snapToGrid w:val="0"/>
              <w:spacing w:line="288" w:lineRule="auto"/>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7639FE7">
            <w:pPr>
              <w:snapToGrid w:val="0"/>
              <w:spacing w:line="288" w:lineRule="auto"/>
              <w:jc w:val="left"/>
              <w:rPr>
                <w:rFonts w:ascii="宋体" w:hAnsi="宋体"/>
                <w:szCs w:val="21"/>
              </w:rPr>
            </w:pPr>
            <w:r>
              <w:rPr>
                <w:rFonts w:hint="eastAsia" w:ascii="宋体" w:hAnsi="宋体"/>
                <w:szCs w:val="21"/>
              </w:rPr>
              <w:t>国家标准中的强制性条款是工程实体复查时重要的关注内容。</w:t>
            </w:r>
          </w:p>
        </w:tc>
        <w:tc>
          <w:tcPr>
            <w:tcW w:w="851" w:type="dxa"/>
            <w:vMerge w:val="continue"/>
            <w:tcBorders>
              <w:left w:val="single" w:color="auto" w:sz="4" w:space="0"/>
              <w:right w:val="single" w:color="auto" w:sz="4" w:space="0"/>
            </w:tcBorders>
            <w:noWrap w:val="0"/>
            <w:vAlign w:val="center"/>
          </w:tcPr>
          <w:p w14:paraId="46B5C643">
            <w:pPr>
              <w:snapToGrid w:val="0"/>
              <w:spacing w:line="288" w:lineRule="auto"/>
              <w:jc w:val="center"/>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D0091BE">
            <w:pPr>
              <w:snapToGrid w:val="0"/>
              <w:spacing w:line="288" w:lineRule="auto"/>
              <w:rPr>
                <w:rFonts w:ascii="宋体" w:hAnsi="宋体"/>
                <w:szCs w:val="21"/>
              </w:rPr>
            </w:pPr>
            <w:r>
              <w:rPr>
                <w:rFonts w:hint="eastAsia" w:ascii="宋体" w:hAnsi="宋体"/>
                <w:szCs w:val="21"/>
              </w:rPr>
              <w:t>对实体顶面重点部位拍照，并结合资料佐证</w:t>
            </w:r>
          </w:p>
        </w:tc>
      </w:tr>
      <w:tr w14:paraId="303DD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772" w:type="dxa"/>
            <w:vMerge w:val="continue"/>
            <w:tcBorders>
              <w:left w:val="single" w:color="auto" w:sz="4" w:space="0"/>
              <w:right w:val="single" w:color="auto" w:sz="4" w:space="0"/>
            </w:tcBorders>
            <w:noWrap w:val="0"/>
            <w:vAlign w:val="center"/>
          </w:tcPr>
          <w:p w14:paraId="282819A2">
            <w:pPr>
              <w:snapToGrid w:val="0"/>
              <w:spacing w:line="288" w:lineRule="auto"/>
              <w:jc w:val="center"/>
              <w:rPr>
                <w:rFonts w:ascii="宋体" w:hAnsi="宋体"/>
                <w:szCs w:val="21"/>
              </w:rPr>
            </w:pPr>
          </w:p>
        </w:tc>
        <w:tc>
          <w:tcPr>
            <w:tcW w:w="1218" w:type="dxa"/>
            <w:vMerge w:val="continue"/>
            <w:tcBorders>
              <w:left w:val="single" w:color="auto" w:sz="4" w:space="0"/>
              <w:right w:val="single" w:color="auto" w:sz="4" w:space="0"/>
            </w:tcBorders>
            <w:noWrap w:val="0"/>
            <w:vAlign w:val="center"/>
          </w:tcPr>
          <w:p w14:paraId="3A2716B7">
            <w:pPr>
              <w:snapToGrid w:val="0"/>
              <w:spacing w:line="240" w:lineRule="exact"/>
              <w:rPr>
                <w:rFonts w:ascii="宋体" w:hAnsi="宋体"/>
                <w:szCs w:val="21"/>
              </w:rPr>
            </w:pPr>
          </w:p>
        </w:tc>
        <w:tc>
          <w:tcPr>
            <w:tcW w:w="5656" w:type="dxa"/>
            <w:tcBorders>
              <w:top w:val="single" w:color="auto" w:sz="4" w:space="0"/>
              <w:left w:val="single" w:color="auto" w:sz="4" w:space="0"/>
              <w:bottom w:val="single" w:color="auto" w:sz="4" w:space="0"/>
              <w:right w:val="single" w:color="auto" w:sz="4" w:space="0"/>
            </w:tcBorders>
            <w:noWrap w:val="0"/>
            <w:vAlign w:val="center"/>
          </w:tcPr>
          <w:p w14:paraId="2517A38C">
            <w:pPr>
              <w:snapToGrid w:val="0"/>
              <w:spacing w:line="240" w:lineRule="exact"/>
              <w:jc w:val="left"/>
              <w:rPr>
                <w:rFonts w:ascii="黑体" w:hAnsi="黑体" w:eastAsia="黑体"/>
                <w:szCs w:val="21"/>
              </w:rPr>
            </w:pPr>
            <w:r>
              <w:rPr>
                <w:rFonts w:hint="eastAsia" w:ascii="黑体" w:hAnsi="黑体" w:eastAsia="黑体"/>
                <w:szCs w:val="21"/>
              </w:rPr>
              <w:t>墙面工程：</w:t>
            </w:r>
          </w:p>
          <w:p w14:paraId="09EDF971">
            <w:pPr>
              <w:rPr>
                <w:rFonts w:ascii="宋体" w:hAnsi="宋体"/>
                <w:szCs w:val="21"/>
              </w:rPr>
            </w:pPr>
            <w:r>
              <w:rPr>
                <w:rFonts w:hint="eastAsia" w:ascii="宋体" w:hAnsi="宋体"/>
                <w:szCs w:val="21"/>
              </w:rPr>
              <w:t>一、一般观感</w:t>
            </w:r>
          </w:p>
          <w:p w14:paraId="4D35B611">
            <w:pPr>
              <w:rPr>
                <w:rFonts w:ascii="宋体" w:hAnsi="宋体"/>
                <w:szCs w:val="21"/>
              </w:rPr>
            </w:pPr>
            <w:r>
              <w:rPr>
                <w:rFonts w:hint="eastAsia" w:ascii="宋体" w:hAnsi="宋体"/>
                <w:szCs w:val="21"/>
              </w:rPr>
              <w:t>1.阴阳角不方正、不顺直；横线条高于竖线条；</w:t>
            </w:r>
          </w:p>
          <w:p w14:paraId="21F98B74">
            <w:pPr>
              <w:rPr>
                <w:rFonts w:ascii="宋体" w:hAnsi="宋体"/>
                <w:szCs w:val="21"/>
              </w:rPr>
            </w:pPr>
            <w:r>
              <w:rPr>
                <w:rFonts w:hint="eastAsia" w:ascii="宋体" w:hAnsi="宋体"/>
                <w:szCs w:val="21"/>
              </w:rPr>
              <w:t>2.机电面板与墙柱面安装不严密、不方正、间距不均；</w:t>
            </w:r>
          </w:p>
          <w:p w14:paraId="43CE6663">
            <w:pPr>
              <w:rPr>
                <w:rFonts w:ascii="宋体" w:hAnsi="宋体"/>
                <w:szCs w:val="21"/>
              </w:rPr>
            </w:pPr>
            <w:r>
              <w:rPr>
                <w:rFonts w:hint="eastAsia" w:ascii="宋体" w:hAnsi="宋体"/>
                <w:szCs w:val="21"/>
              </w:rPr>
              <w:t>3.水龙头、阀门、检查口安装位置不准确，标高不一致，不成排成行。</w:t>
            </w:r>
          </w:p>
          <w:p w14:paraId="33BC7840">
            <w:pPr>
              <w:rPr>
                <w:rFonts w:ascii="宋体" w:hAnsi="宋体"/>
                <w:szCs w:val="21"/>
              </w:rPr>
            </w:pPr>
            <w:r>
              <w:rPr>
                <w:rFonts w:hint="eastAsia" w:ascii="宋体" w:hAnsi="宋体"/>
                <w:szCs w:val="21"/>
              </w:rPr>
              <w:t>二、饰面砖工程</w:t>
            </w:r>
          </w:p>
          <w:p w14:paraId="1325212C">
            <w:pPr>
              <w:rPr>
                <w:rFonts w:ascii="宋体" w:hAnsi="宋体"/>
                <w:szCs w:val="21"/>
              </w:rPr>
            </w:pPr>
            <w:r>
              <w:rPr>
                <w:rFonts w:hint="eastAsia" w:ascii="宋体" w:hAnsi="宋体"/>
                <w:szCs w:val="21"/>
              </w:rPr>
              <w:t>1.饰面砖粘贴不牢固、表面不平整、色泽不一致、排砖不正确，窗边、门边有破活；</w:t>
            </w:r>
          </w:p>
          <w:p w14:paraId="38FE9FB4">
            <w:pPr>
              <w:rPr>
                <w:rFonts w:ascii="宋体" w:hAnsi="宋体"/>
                <w:szCs w:val="21"/>
              </w:rPr>
            </w:pPr>
            <w:r>
              <w:rPr>
                <w:rFonts w:hint="eastAsia" w:ascii="宋体" w:hAnsi="宋体"/>
                <w:szCs w:val="21"/>
              </w:rPr>
              <w:t>2.饰面砖缝不均匀，勾缝不清晰，不洁净。</w:t>
            </w:r>
          </w:p>
          <w:p w14:paraId="33753B46">
            <w:pPr>
              <w:rPr>
                <w:rFonts w:ascii="宋体" w:hAnsi="宋体"/>
                <w:szCs w:val="21"/>
              </w:rPr>
            </w:pPr>
            <w:r>
              <w:rPr>
                <w:rFonts w:hint="eastAsia" w:ascii="宋体" w:hAnsi="宋体"/>
                <w:szCs w:val="21"/>
              </w:rPr>
              <w:t>三、饰面板工程</w:t>
            </w:r>
          </w:p>
          <w:p w14:paraId="313BBACD">
            <w:pPr>
              <w:rPr>
                <w:rFonts w:ascii="宋体" w:hAnsi="宋体"/>
                <w:szCs w:val="21"/>
              </w:rPr>
            </w:pPr>
            <w:r>
              <w:rPr>
                <w:rFonts w:hint="eastAsia" w:ascii="宋体" w:hAnsi="宋体"/>
                <w:szCs w:val="21"/>
              </w:rPr>
              <w:t>1.石材墙柱面接缝不平、有缺损、接缝打磨，修补痕迹明显；</w:t>
            </w:r>
          </w:p>
          <w:p w14:paraId="3AE92255">
            <w:pPr>
              <w:rPr>
                <w:rFonts w:ascii="宋体" w:hAnsi="宋体"/>
                <w:szCs w:val="21"/>
              </w:rPr>
            </w:pPr>
            <w:r>
              <w:rPr>
                <w:rFonts w:hint="eastAsia" w:ascii="宋体" w:hAnsi="宋体"/>
                <w:szCs w:val="21"/>
              </w:rPr>
              <w:t>2.干挂石材墙面透胶污染，湿贴石材饰面有“泛碱”或“水渍”；</w:t>
            </w:r>
          </w:p>
          <w:p w14:paraId="1BBE0A47">
            <w:pPr>
              <w:rPr>
                <w:rFonts w:ascii="宋体" w:hAnsi="宋体"/>
                <w:szCs w:val="21"/>
              </w:rPr>
            </w:pPr>
            <w:r>
              <w:rPr>
                <w:rFonts w:hint="eastAsia" w:ascii="宋体" w:hAnsi="宋体"/>
                <w:szCs w:val="21"/>
              </w:rPr>
              <w:t>3.金属饰面板表面不平整、色泽不一致，板缝不均匀顺直、板面有明显划痕或污渍，胶缝不平顺；</w:t>
            </w:r>
          </w:p>
          <w:p w14:paraId="6139EAAA">
            <w:pPr>
              <w:rPr>
                <w:rFonts w:ascii="宋体" w:hAnsi="宋体"/>
                <w:szCs w:val="21"/>
              </w:rPr>
            </w:pPr>
            <w:r>
              <w:rPr>
                <w:rFonts w:hint="eastAsia" w:ascii="宋体" w:hAnsi="宋体"/>
                <w:szCs w:val="21"/>
              </w:rPr>
              <w:t>4.木饰面板表面不平整、有翘曲、开裂、离缝、接缝不严密、色泽不均匀、钉眼明显；</w:t>
            </w:r>
          </w:p>
          <w:p w14:paraId="44656234">
            <w:pPr>
              <w:rPr>
                <w:rFonts w:ascii="宋体" w:hAnsi="宋体"/>
                <w:szCs w:val="21"/>
              </w:rPr>
            </w:pPr>
            <w:r>
              <w:rPr>
                <w:rFonts w:hint="eastAsia" w:ascii="宋体" w:hAnsi="宋体"/>
                <w:szCs w:val="21"/>
              </w:rPr>
              <w:t>5.玻璃板饰面无可靠防脱落措施，存在安全隐患；</w:t>
            </w:r>
          </w:p>
          <w:p w14:paraId="66271A65">
            <w:pPr>
              <w:rPr>
                <w:rFonts w:ascii="宋体" w:hAnsi="宋体"/>
                <w:szCs w:val="21"/>
              </w:rPr>
            </w:pPr>
            <w:r>
              <w:rPr>
                <w:rFonts w:hint="eastAsia" w:ascii="宋体" w:hAnsi="宋体"/>
                <w:szCs w:val="21"/>
              </w:rPr>
              <w:t>四、裱糊软包</w:t>
            </w:r>
          </w:p>
          <w:p w14:paraId="18C2D7AA">
            <w:pPr>
              <w:rPr>
                <w:rFonts w:ascii="宋体" w:hAnsi="宋体"/>
                <w:szCs w:val="21"/>
              </w:rPr>
            </w:pPr>
            <w:r>
              <w:rPr>
                <w:rFonts w:hint="eastAsia" w:ascii="宋体" w:hAnsi="宋体"/>
                <w:szCs w:val="21"/>
              </w:rPr>
              <w:t>1.壁纸粘贴不牢、翘边、空鼓；拼接处花纹、图案不协调、拼缝污染、离缝；</w:t>
            </w:r>
          </w:p>
          <w:p w14:paraId="2A9EF22F">
            <w:pPr>
              <w:rPr>
                <w:rFonts w:ascii="宋体" w:hAnsi="宋体"/>
                <w:szCs w:val="21"/>
              </w:rPr>
            </w:pPr>
            <w:r>
              <w:rPr>
                <w:rFonts w:hint="eastAsia" w:ascii="宋体" w:hAnsi="宋体"/>
                <w:szCs w:val="21"/>
              </w:rPr>
              <w:t>2.软包饰面不平整、布面走向不一致，面料四周绷压不严密、布面松弛、边角不圆润饱满，内衬泡沫塑料过厚；</w:t>
            </w:r>
          </w:p>
          <w:p w14:paraId="40A5DD48">
            <w:pPr>
              <w:rPr>
                <w:rFonts w:ascii="宋体" w:hAnsi="宋体"/>
                <w:szCs w:val="21"/>
              </w:rPr>
            </w:pPr>
            <w:r>
              <w:rPr>
                <w:rFonts w:hint="eastAsia" w:ascii="宋体" w:hAnsi="宋体"/>
                <w:szCs w:val="21"/>
              </w:rPr>
              <w:t>五、玻璃板墙面</w:t>
            </w:r>
          </w:p>
          <w:p w14:paraId="1A2771FA">
            <w:pPr>
              <w:rPr>
                <w:rFonts w:ascii="宋体" w:hAnsi="宋体"/>
                <w:szCs w:val="21"/>
              </w:rPr>
            </w:pPr>
            <w:r>
              <w:rPr>
                <w:rFonts w:hint="eastAsia" w:ascii="宋体" w:hAnsi="宋体"/>
                <w:szCs w:val="21"/>
              </w:rPr>
              <w:t>1.未按规定使用安全玻璃，存在安全隐患；</w:t>
            </w:r>
          </w:p>
          <w:p w14:paraId="6546B22A">
            <w:pPr>
              <w:rPr>
                <w:rFonts w:ascii="宋体" w:hAnsi="宋体"/>
                <w:szCs w:val="21"/>
              </w:rPr>
            </w:pPr>
            <w:r>
              <w:rPr>
                <w:rFonts w:hint="eastAsia" w:ascii="宋体" w:hAnsi="宋体"/>
                <w:szCs w:val="21"/>
              </w:rPr>
              <w:t>2.玻璃板安装不牢固，与压条封压不严密；</w:t>
            </w:r>
          </w:p>
          <w:p w14:paraId="460972F4">
            <w:pPr>
              <w:rPr>
                <w:rFonts w:ascii="宋体" w:hAnsi="宋体"/>
                <w:szCs w:val="21"/>
              </w:rPr>
            </w:pPr>
            <w:r>
              <w:rPr>
                <w:rFonts w:hint="eastAsia" w:ascii="宋体" w:hAnsi="宋体"/>
                <w:szCs w:val="21"/>
              </w:rPr>
              <w:t>3.接缝不平直、勾缝不密实平整，表面不洁净、金属压条刺手。</w:t>
            </w:r>
          </w:p>
          <w:p w14:paraId="4EBBCB53">
            <w:pPr>
              <w:rPr>
                <w:rFonts w:ascii="宋体" w:hAnsi="宋体"/>
                <w:szCs w:val="21"/>
              </w:rPr>
            </w:pPr>
            <w:r>
              <w:rPr>
                <w:rFonts w:hint="eastAsia" w:ascii="宋体" w:hAnsi="宋体"/>
                <w:szCs w:val="21"/>
              </w:rPr>
              <w:t>六、涂饰墙面</w:t>
            </w:r>
          </w:p>
          <w:p w14:paraId="205EC635">
            <w:pPr>
              <w:rPr>
                <w:rFonts w:ascii="宋体" w:hAnsi="宋体"/>
                <w:szCs w:val="21"/>
              </w:rPr>
            </w:pPr>
            <w:r>
              <w:rPr>
                <w:rFonts w:hint="eastAsia" w:ascii="宋体" w:hAnsi="宋体"/>
                <w:szCs w:val="21"/>
              </w:rPr>
              <w:t>1.油漆、涂料色泽不均匀、表面不平整、漆面不光滑、刷纹明显、流坠污染、阴角凹槽不干净。</w:t>
            </w:r>
          </w:p>
          <w:p w14:paraId="3EF237AF">
            <w:pPr>
              <w:rPr>
                <w:rFonts w:ascii="宋体" w:hAnsi="宋体"/>
                <w:szCs w:val="21"/>
              </w:rPr>
            </w:pPr>
            <w:r>
              <w:rPr>
                <w:rFonts w:hint="eastAsia" w:ascii="宋体" w:hAnsi="宋体"/>
                <w:szCs w:val="21"/>
              </w:rPr>
              <w:t>七、门窗安装</w:t>
            </w:r>
          </w:p>
          <w:p w14:paraId="293603D7">
            <w:pPr>
              <w:rPr>
                <w:rFonts w:ascii="宋体" w:hAnsi="宋体"/>
                <w:szCs w:val="21"/>
              </w:rPr>
            </w:pPr>
            <w:r>
              <w:rPr>
                <w:rFonts w:hint="eastAsia" w:ascii="宋体" w:hAnsi="宋体"/>
                <w:szCs w:val="21"/>
              </w:rPr>
              <w:t>1.木门窗（扇）变形扭曲、缝隙大、关闭不严密，合页安装粗糙，门窗扇上、下端漏刷油漆；</w:t>
            </w:r>
          </w:p>
          <w:p w14:paraId="47E2DEEF">
            <w:pPr>
              <w:rPr>
                <w:rFonts w:ascii="宋体" w:hAnsi="宋体"/>
                <w:szCs w:val="21"/>
              </w:rPr>
            </w:pPr>
            <w:r>
              <w:rPr>
                <w:rFonts w:hint="eastAsia" w:ascii="宋体" w:hAnsi="宋体"/>
                <w:szCs w:val="21"/>
              </w:rPr>
              <w:t>2.玻璃门门扇下坠，拉手松动、缝隙不均或过宽；</w:t>
            </w:r>
          </w:p>
          <w:p w14:paraId="27AE4FB7">
            <w:pPr>
              <w:rPr>
                <w:rFonts w:ascii="宋体" w:hAnsi="宋体"/>
                <w:szCs w:val="21"/>
              </w:rPr>
            </w:pPr>
            <w:r>
              <w:rPr>
                <w:rFonts w:hint="eastAsia" w:ascii="宋体" w:hAnsi="宋体"/>
                <w:szCs w:val="21"/>
              </w:rPr>
              <w:t>3.铝合金门窗扇固定不牢靠，门扇、窗扇下坠、开启不灵便、划痕明显；</w:t>
            </w:r>
          </w:p>
          <w:p w14:paraId="6235CA88">
            <w:pPr>
              <w:rPr>
                <w:rFonts w:ascii="宋体" w:hAnsi="宋体"/>
                <w:szCs w:val="21"/>
              </w:rPr>
            </w:pPr>
            <w:r>
              <w:rPr>
                <w:rFonts w:hint="eastAsia" w:ascii="宋体" w:hAnsi="宋体"/>
                <w:szCs w:val="21"/>
              </w:rPr>
              <w:t>4.厨卫间木门框下沿未作防水、防潮处理；</w:t>
            </w:r>
          </w:p>
          <w:p w14:paraId="54F8BAE3">
            <w:pPr>
              <w:rPr>
                <w:rFonts w:ascii="宋体" w:hAnsi="宋体"/>
                <w:szCs w:val="21"/>
              </w:rPr>
            </w:pPr>
            <w:r>
              <w:rPr>
                <w:rFonts w:hint="eastAsia" w:ascii="宋体" w:hAnsi="宋体"/>
                <w:szCs w:val="21"/>
              </w:rPr>
              <w:t>5.门窗的开启方向不符合规范要求。</w:t>
            </w:r>
          </w:p>
          <w:p w14:paraId="557F6C54">
            <w:pPr>
              <w:rPr>
                <w:rFonts w:ascii="宋体" w:hAnsi="宋体"/>
                <w:szCs w:val="21"/>
              </w:rPr>
            </w:pPr>
            <w:r>
              <w:rPr>
                <w:rFonts w:hint="eastAsia" w:ascii="宋体" w:hAnsi="宋体"/>
                <w:szCs w:val="21"/>
              </w:rPr>
              <w:t>八、固定家具及细部</w:t>
            </w:r>
          </w:p>
          <w:p w14:paraId="43F5B582">
            <w:pPr>
              <w:rPr>
                <w:rFonts w:ascii="宋体" w:hAnsi="宋体"/>
                <w:szCs w:val="21"/>
              </w:rPr>
            </w:pPr>
            <w:r>
              <w:rPr>
                <w:rFonts w:hint="eastAsia" w:ascii="宋体" w:hAnsi="宋体"/>
                <w:szCs w:val="21"/>
              </w:rPr>
              <w:t>1.木制固定家具门扇翘曲变形，与顶棚、墙体交接不严密、不顺直，柜台出檐下部粗糙；</w:t>
            </w:r>
          </w:p>
          <w:p w14:paraId="25FD94AC">
            <w:pPr>
              <w:rPr>
                <w:rFonts w:ascii="宋体" w:hAnsi="宋体"/>
                <w:szCs w:val="21"/>
              </w:rPr>
            </w:pPr>
            <w:r>
              <w:rPr>
                <w:rFonts w:hint="eastAsia" w:ascii="宋体" w:hAnsi="宋体"/>
                <w:szCs w:val="21"/>
              </w:rPr>
              <w:t>2.阳角线、挂镜线、腰线、踢脚线接口不平，表面污染，装饰线收口不到位。</w:t>
            </w:r>
          </w:p>
          <w:p w14:paraId="4D94CCA8">
            <w:pPr>
              <w:rPr>
                <w:rFonts w:ascii="宋体" w:hAnsi="宋体"/>
                <w:szCs w:val="21"/>
              </w:rPr>
            </w:pPr>
            <w:r>
              <w:rPr>
                <w:rFonts w:hint="eastAsia" w:ascii="宋体" w:hAnsi="宋体"/>
                <w:szCs w:val="21"/>
              </w:rPr>
              <w:t>九、洁具安装</w:t>
            </w:r>
          </w:p>
          <w:p w14:paraId="60178CC7">
            <w:pPr>
              <w:rPr>
                <w:rFonts w:ascii="宋体" w:hAnsi="宋体"/>
                <w:szCs w:val="21"/>
              </w:rPr>
            </w:pPr>
            <w:r>
              <w:rPr>
                <w:rFonts w:hint="eastAsia" w:ascii="宋体" w:hAnsi="宋体"/>
                <w:szCs w:val="21"/>
              </w:rPr>
              <w:t>1.洗手台板、台下盆等卫浴设备安装不牢，靠墙、地部位缝隙不均匀，无防水措施；</w:t>
            </w:r>
          </w:p>
          <w:p w14:paraId="4928F038">
            <w:pPr>
              <w:rPr>
                <w:rFonts w:ascii="宋体" w:hAnsi="宋体"/>
                <w:szCs w:val="21"/>
              </w:rPr>
            </w:pPr>
            <w:r>
              <w:rPr>
                <w:rFonts w:hint="eastAsia" w:ascii="宋体" w:hAnsi="宋体"/>
                <w:szCs w:val="21"/>
              </w:rPr>
              <w:t>2.小便斗、洗手盆、大便器等安装不牢固，不成排成行；</w:t>
            </w:r>
          </w:p>
          <w:p w14:paraId="129A3A56">
            <w:pPr>
              <w:rPr>
                <w:rFonts w:ascii="宋体" w:hAnsi="宋体"/>
                <w:szCs w:val="21"/>
              </w:rPr>
            </w:pPr>
            <w:r>
              <w:rPr>
                <w:rFonts w:hint="eastAsia" w:ascii="宋体" w:hAnsi="宋体"/>
                <w:szCs w:val="21"/>
              </w:rPr>
              <w:t>3.给水、排水的阀门开、关不灵活；给水、排水的水流不通畅；卫生器具排水口下未设置存水弯、存水弯水封深度不符合要求；</w:t>
            </w:r>
          </w:p>
          <w:p w14:paraId="4919C05A">
            <w:pPr>
              <w:rPr>
                <w:rFonts w:ascii="宋体" w:hAnsi="宋体"/>
                <w:szCs w:val="21"/>
              </w:rPr>
            </w:pPr>
            <w:r>
              <w:rPr>
                <w:rFonts w:hint="eastAsia" w:ascii="宋体" w:hAnsi="宋体"/>
                <w:szCs w:val="21"/>
              </w:rPr>
              <w:t>4.卫浴间隔断和配件安装不牢固、不平顺。</w:t>
            </w:r>
          </w:p>
          <w:p w14:paraId="0A227922">
            <w:pPr>
              <w:rPr>
                <w:rFonts w:ascii="宋体" w:hAnsi="宋体"/>
                <w:szCs w:val="21"/>
              </w:rPr>
            </w:pPr>
            <w:r>
              <w:rPr>
                <w:rFonts w:hint="eastAsia" w:ascii="宋体" w:hAnsi="宋体"/>
                <w:szCs w:val="21"/>
              </w:rPr>
              <w:t>十、电气安装</w:t>
            </w:r>
          </w:p>
          <w:p w14:paraId="61371F0B">
            <w:pPr>
              <w:rPr>
                <w:rFonts w:ascii="宋体" w:hAnsi="宋体"/>
                <w:szCs w:val="21"/>
              </w:rPr>
            </w:pPr>
            <w:r>
              <w:rPr>
                <w:rFonts w:hint="eastAsia" w:ascii="宋体" w:hAnsi="宋体"/>
                <w:szCs w:val="21"/>
              </w:rPr>
              <w:t>1.开关未控制相线；插座相位不准确，电线未分色；开关和插座盒外有裸露导线、未用套盒、装在软包或木饰面等易燃物上未做防火处理；插座接线不正确；</w:t>
            </w:r>
          </w:p>
          <w:p w14:paraId="71BE21A6">
            <w:pPr>
              <w:rPr>
                <w:rFonts w:ascii="宋体" w:hAnsi="宋体"/>
                <w:szCs w:val="21"/>
              </w:rPr>
            </w:pPr>
            <w:r>
              <w:rPr>
                <w:rFonts w:hint="eastAsia" w:ascii="宋体" w:hAnsi="宋体"/>
                <w:szCs w:val="21"/>
              </w:rPr>
              <w:t>2.配电箱、柜安装不牢固，位置不准确，接线不正确；</w:t>
            </w:r>
          </w:p>
          <w:p w14:paraId="52D64886">
            <w:pPr>
              <w:rPr>
                <w:rFonts w:ascii="宋体" w:hAnsi="宋体"/>
                <w:szCs w:val="21"/>
              </w:rPr>
            </w:pPr>
            <w:r>
              <w:rPr>
                <w:rFonts w:hint="eastAsia" w:ascii="宋体" w:hAnsi="宋体"/>
                <w:szCs w:val="21"/>
              </w:rPr>
              <w:t>3.有洗浴的卫生间等电位联结不正确或未做；</w:t>
            </w:r>
          </w:p>
          <w:p w14:paraId="48D8E3F6">
            <w:pPr>
              <w:rPr>
                <w:rFonts w:ascii="宋体" w:hAnsi="宋体"/>
                <w:szCs w:val="21"/>
              </w:rPr>
            </w:pPr>
            <w:r>
              <w:rPr>
                <w:rFonts w:hint="eastAsia" w:ascii="宋体" w:hAnsi="宋体"/>
                <w:szCs w:val="21"/>
              </w:rPr>
              <w:t>4.缺接地保护线；</w:t>
            </w:r>
          </w:p>
          <w:p w14:paraId="046B4108">
            <w:pPr>
              <w:rPr>
                <w:rFonts w:ascii="宋体" w:hAnsi="宋体"/>
                <w:szCs w:val="21"/>
              </w:rPr>
            </w:pPr>
            <w:r>
              <w:rPr>
                <w:rFonts w:hint="eastAsia" w:ascii="宋体" w:hAnsi="宋体"/>
                <w:szCs w:val="21"/>
              </w:rPr>
              <w:t>5.墙面背景灯、有水潮湿部位的灯具安装存在安全隐患。</w:t>
            </w:r>
          </w:p>
          <w:p w14:paraId="41C3ACF2">
            <w:pPr>
              <w:rPr>
                <w:rFonts w:ascii="宋体" w:hAnsi="宋体"/>
                <w:szCs w:val="21"/>
              </w:rPr>
            </w:pPr>
            <w:r>
              <w:rPr>
                <w:rFonts w:hint="eastAsia" w:ascii="宋体" w:hAnsi="宋体"/>
                <w:szCs w:val="21"/>
              </w:rPr>
              <w:t>十一、消防栓</w:t>
            </w:r>
          </w:p>
          <w:p w14:paraId="79097A92">
            <w:pPr>
              <w:snapToGrid w:val="0"/>
              <w:spacing w:line="240" w:lineRule="exact"/>
              <w:jc w:val="left"/>
              <w:rPr>
                <w:rFonts w:ascii="黑体" w:hAnsi="黑体" w:eastAsia="黑体"/>
                <w:szCs w:val="21"/>
              </w:rPr>
            </w:pPr>
            <w:r>
              <w:rPr>
                <w:rFonts w:hint="eastAsia" w:ascii="宋体" w:hAnsi="宋体"/>
                <w:szCs w:val="21"/>
              </w:rPr>
              <w:t>1.消防箱安装不牢固，壁内四周未采用阻燃材料封堵；消防栓门开启不便或无开启方向标识，开启角度不符合规范要求。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559FF95">
            <w:pPr>
              <w:pStyle w:val="6"/>
              <w:snapToGrid w:val="0"/>
              <w:spacing w:line="288" w:lineRule="auto"/>
              <w:ind w:firstLine="0" w:firstLineChars="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违反强条的扣5-20分；</w:t>
            </w:r>
          </w:p>
          <w:p w14:paraId="36668A45">
            <w:pPr>
              <w:pStyle w:val="6"/>
              <w:snapToGrid w:val="0"/>
              <w:spacing w:line="288" w:lineRule="auto"/>
              <w:ind w:firstLine="0" w:firstLineChars="0"/>
              <w:jc w:val="lef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墙面工程存在质量缺陷的每项扣0.1-0.5分；</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BF65023">
            <w:pPr>
              <w:snapToGrid w:val="0"/>
              <w:spacing w:line="288" w:lineRule="auto"/>
              <w:jc w:val="left"/>
              <w:rPr>
                <w:rFonts w:ascii="宋体" w:hAnsi="宋体"/>
                <w:szCs w:val="21"/>
              </w:rPr>
            </w:pPr>
          </w:p>
        </w:tc>
        <w:tc>
          <w:tcPr>
            <w:tcW w:w="851" w:type="dxa"/>
            <w:vMerge w:val="continue"/>
            <w:tcBorders>
              <w:left w:val="single" w:color="auto" w:sz="4" w:space="0"/>
              <w:right w:val="single" w:color="auto" w:sz="4" w:space="0"/>
            </w:tcBorders>
            <w:noWrap w:val="0"/>
            <w:vAlign w:val="center"/>
          </w:tcPr>
          <w:p w14:paraId="7EA26A72">
            <w:pPr>
              <w:snapToGrid w:val="0"/>
              <w:spacing w:line="288" w:lineRule="auto"/>
              <w:jc w:val="center"/>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CEB080C">
            <w:pPr>
              <w:snapToGrid w:val="0"/>
              <w:spacing w:line="288" w:lineRule="auto"/>
              <w:rPr>
                <w:rFonts w:ascii="宋体" w:hAnsi="宋体"/>
                <w:szCs w:val="21"/>
              </w:rPr>
            </w:pPr>
            <w:r>
              <w:rPr>
                <w:rFonts w:hint="eastAsia" w:ascii="宋体" w:hAnsi="宋体"/>
                <w:spacing w:val="-6"/>
                <w:szCs w:val="21"/>
              </w:rPr>
              <w:t>对实体墙柱面重点部位拍照，并结合资料佐证</w:t>
            </w:r>
          </w:p>
        </w:tc>
      </w:tr>
      <w:tr w14:paraId="4F27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trPr>
        <w:tc>
          <w:tcPr>
            <w:tcW w:w="772" w:type="dxa"/>
            <w:vMerge w:val="continue"/>
            <w:tcBorders>
              <w:left w:val="single" w:color="auto" w:sz="4" w:space="0"/>
              <w:right w:val="single" w:color="auto" w:sz="4" w:space="0"/>
            </w:tcBorders>
            <w:noWrap w:val="0"/>
            <w:vAlign w:val="center"/>
          </w:tcPr>
          <w:p w14:paraId="2F130987">
            <w:pPr>
              <w:snapToGrid w:val="0"/>
              <w:spacing w:line="288" w:lineRule="auto"/>
              <w:jc w:val="center"/>
              <w:rPr>
                <w:rFonts w:ascii="宋体" w:hAnsi="宋体"/>
                <w:szCs w:val="21"/>
              </w:rPr>
            </w:pPr>
          </w:p>
        </w:tc>
        <w:tc>
          <w:tcPr>
            <w:tcW w:w="1218" w:type="dxa"/>
            <w:vMerge w:val="continue"/>
            <w:tcBorders>
              <w:left w:val="single" w:color="auto" w:sz="4" w:space="0"/>
              <w:right w:val="single" w:color="auto" w:sz="4" w:space="0"/>
            </w:tcBorders>
            <w:noWrap w:val="0"/>
            <w:vAlign w:val="center"/>
          </w:tcPr>
          <w:p w14:paraId="4CAB5D8F">
            <w:pPr>
              <w:snapToGrid w:val="0"/>
              <w:spacing w:line="240" w:lineRule="exact"/>
              <w:rPr>
                <w:rFonts w:ascii="宋体" w:hAnsi="宋体"/>
                <w:szCs w:val="21"/>
              </w:rPr>
            </w:pPr>
          </w:p>
        </w:tc>
        <w:tc>
          <w:tcPr>
            <w:tcW w:w="5656" w:type="dxa"/>
            <w:tcBorders>
              <w:top w:val="single" w:color="auto" w:sz="4" w:space="0"/>
              <w:left w:val="single" w:color="auto" w:sz="4" w:space="0"/>
              <w:bottom w:val="single" w:color="auto" w:sz="4" w:space="0"/>
              <w:right w:val="single" w:color="auto" w:sz="4" w:space="0"/>
            </w:tcBorders>
            <w:noWrap w:val="0"/>
            <w:vAlign w:val="center"/>
          </w:tcPr>
          <w:p w14:paraId="10608F54">
            <w:pPr>
              <w:snapToGrid w:val="0"/>
              <w:spacing w:line="240" w:lineRule="exact"/>
              <w:jc w:val="left"/>
              <w:rPr>
                <w:rFonts w:ascii="黑体" w:hAnsi="黑体" w:eastAsia="黑体"/>
                <w:szCs w:val="21"/>
              </w:rPr>
            </w:pPr>
            <w:r>
              <w:rPr>
                <w:rFonts w:hint="eastAsia" w:ascii="黑体" w:hAnsi="黑体" w:eastAsia="黑体"/>
                <w:szCs w:val="21"/>
              </w:rPr>
              <w:t>地面工程：</w:t>
            </w:r>
          </w:p>
          <w:p w14:paraId="1461747F">
            <w:pPr>
              <w:rPr>
                <w:rFonts w:ascii="宋体" w:hAnsi="宋体"/>
                <w:szCs w:val="21"/>
              </w:rPr>
            </w:pPr>
            <w:r>
              <w:rPr>
                <w:rFonts w:hint="eastAsia" w:ascii="宋体" w:hAnsi="宋体"/>
                <w:szCs w:val="21"/>
              </w:rPr>
              <w:t>一、一般观感</w:t>
            </w:r>
          </w:p>
          <w:p w14:paraId="3744095C">
            <w:pPr>
              <w:rPr>
                <w:rFonts w:ascii="宋体" w:hAnsi="宋体"/>
                <w:szCs w:val="21"/>
              </w:rPr>
            </w:pPr>
            <w:r>
              <w:rPr>
                <w:rFonts w:hint="eastAsia" w:ascii="宋体" w:hAnsi="宋体"/>
                <w:szCs w:val="21"/>
              </w:rPr>
              <w:t>1.地面标高不正确，与客梯、滚梯以及用水间地面配合不好；地面平整度差、坡向不正确，地漏篦子未低于地面、地漏未居地砖（块）中心。</w:t>
            </w:r>
          </w:p>
          <w:p w14:paraId="1A522DB1">
            <w:pPr>
              <w:rPr>
                <w:rFonts w:ascii="宋体" w:hAnsi="宋体"/>
                <w:szCs w:val="21"/>
              </w:rPr>
            </w:pPr>
            <w:r>
              <w:rPr>
                <w:rFonts w:hint="eastAsia" w:ascii="宋体" w:hAnsi="宋体"/>
                <w:szCs w:val="21"/>
              </w:rPr>
              <w:t>2.有防滑要求的地面、坡道不符合防滑要求。</w:t>
            </w:r>
          </w:p>
          <w:p w14:paraId="4F123CA1">
            <w:pPr>
              <w:rPr>
                <w:rFonts w:ascii="宋体" w:hAnsi="宋体"/>
                <w:szCs w:val="21"/>
              </w:rPr>
            </w:pPr>
            <w:r>
              <w:rPr>
                <w:rFonts w:hint="eastAsia" w:ascii="宋体" w:hAnsi="宋体"/>
                <w:szCs w:val="21"/>
              </w:rPr>
              <w:t>3.楼梯台阶高差不匀、踏步过高，单级踏步。</w:t>
            </w:r>
          </w:p>
          <w:p w14:paraId="57327154">
            <w:pPr>
              <w:rPr>
                <w:rFonts w:ascii="宋体" w:hAnsi="宋体"/>
                <w:szCs w:val="21"/>
              </w:rPr>
            </w:pPr>
            <w:r>
              <w:rPr>
                <w:rFonts w:hint="eastAsia" w:ascii="宋体" w:hAnsi="宋体"/>
                <w:szCs w:val="21"/>
              </w:rPr>
              <w:t>二、木地板地面</w:t>
            </w:r>
          </w:p>
          <w:p w14:paraId="570ACB0A">
            <w:pPr>
              <w:rPr>
                <w:rFonts w:ascii="宋体" w:hAnsi="宋体"/>
                <w:szCs w:val="21"/>
              </w:rPr>
            </w:pPr>
            <w:r>
              <w:rPr>
                <w:rFonts w:hint="eastAsia" w:ascii="宋体" w:hAnsi="宋体"/>
                <w:szCs w:val="21"/>
              </w:rPr>
              <w:t>1.条形地板铺设方向不正确，板面变形不实、行走有响动，拼缝不平直、缝隙过大。</w:t>
            </w:r>
          </w:p>
          <w:p w14:paraId="2A1A99A5">
            <w:pPr>
              <w:rPr>
                <w:rFonts w:ascii="宋体" w:hAnsi="宋体"/>
                <w:szCs w:val="21"/>
              </w:rPr>
            </w:pPr>
            <w:r>
              <w:rPr>
                <w:rFonts w:hint="eastAsia" w:ascii="宋体" w:hAnsi="宋体"/>
                <w:szCs w:val="21"/>
              </w:rPr>
              <w:t>三、板块地面</w:t>
            </w:r>
          </w:p>
          <w:p w14:paraId="5E90535B">
            <w:pPr>
              <w:rPr>
                <w:rFonts w:ascii="宋体" w:hAnsi="宋体"/>
                <w:szCs w:val="21"/>
              </w:rPr>
            </w:pPr>
            <w:r>
              <w:rPr>
                <w:rFonts w:hint="eastAsia" w:ascii="宋体" w:hAnsi="宋体"/>
                <w:szCs w:val="21"/>
              </w:rPr>
              <w:t>1.石材地面“泛碱”、“水渍”污染，色差明显；</w:t>
            </w:r>
          </w:p>
          <w:p w14:paraId="689C323E">
            <w:pPr>
              <w:rPr>
                <w:rFonts w:ascii="宋体" w:hAnsi="宋体"/>
                <w:szCs w:val="21"/>
              </w:rPr>
            </w:pPr>
            <w:r>
              <w:rPr>
                <w:rFonts w:hint="eastAsia" w:ascii="宋体" w:hAnsi="宋体"/>
                <w:szCs w:val="21"/>
              </w:rPr>
              <w:t>2.板块地面接缝不平直、局部打磨影响美观；</w:t>
            </w:r>
          </w:p>
          <w:p w14:paraId="45EF5D86">
            <w:pPr>
              <w:rPr>
                <w:rFonts w:ascii="宋体" w:hAnsi="宋体"/>
                <w:szCs w:val="21"/>
              </w:rPr>
            </w:pPr>
            <w:r>
              <w:rPr>
                <w:rFonts w:hint="eastAsia" w:ascii="宋体" w:hAnsi="宋体"/>
                <w:szCs w:val="21"/>
              </w:rPr>
              <w:t>3.块材崩边掉角、裂纹多、修补痕迹明显；</w:t>
            </w:r>
          </w:p>
          <w:p w14:paraId="3167DBF1">
            <w:pPr>
              <w:rPr>
                <w:rFonts w:ascii="宋体" w:hAnsi="宋体"/>
                <w:szCs w:val="21"/>
              </w:rPr>
            </w:pPr>
            <w:r>
              <w:rPr>
                <w:rFonts w:hint="eastAsia" w:ascii="宋体" w:hAnsi="宋体"/>
                <w:szCs w:val="21"/>
              </w:rPr>
              <w:t>4.块材地面裁块不匀、排板不佳、影响美观；周边不交圈、切角不到位、套割不严密。</w:t>
            </w:r>
          </w:p>
          <w:p w14:paraId="7ED85B05">
            <w:pPr>
              <w:rPr>
                <w:rFonts w:ascii="宋体" w:hAnsi="宋体"/>
                <w:szCs w:val="21"/>
              </w:rPr>
            </w:pPr>
            <w:r>
              <w:rPr>
                <w:rFonts w:hint="eastAsia" w:ascii="宋体" w:hAnsi="宋体"/>
                <w:szCs w:val="21"/>
              </w:rPr>
              <w:t>四、地毯地面</w:t>
            </w:r>
          </w:p>
          <w:p w14:paraId="3E52B14E">
            <w:pPr>
              <w:rPr>
                <w:rFonts w:ascii="宋体" w:hAnsi="宋体"/>
                <w:szCs w:val="21"/>
              </w:rPr>
            </w:pPr>
            <w:r>
              <w:rPr>
                <w:rFonts w:hint="eastAsia" w:ascii="宋体" w:hAnsi="宋体"/>
                <w:szCs w:val="21"/>
              </w:rPr>
              <w:t>1.地毯表面不平服、起鼓翘边、图案拼花不细、接缝明显，绒面顺光不一致。</w:t>
            </w:r>
          </w:p>
          <w:p w14:paraId="18B5E9F6">
            <w:pPr>
              <w:rPr>
                <w:rFonts w:ascii="宋体" w:hAnsi="宋体"/>
                <w:szCs w:val="21"/>
              </w:rPr>
            </w:pPr>
            <w:r>
              <w:rPr>
                <w:rFonts w:hint="eastAsia" w:ascii="宋体" w:hAnsi="宋体"/>
                <w:szCs w:val="21"/>
              </w:rPr>
              <w:t>五、防静电及塑胶地板</w:t>
            </w:r>
          </w:p>
          <w:p w14:paraId="7DD0525A">
            <w:pPr>
              <w:rPr>
                <w:rFonts w:ascii="宋体" w:hAnsi="宋体"/>
                <w:szCs w:val="21"/>
              </w:rPr>
            </w:pPr>
            <w:r>
              <w:rPr>
                <w:rFonts w:hint="eastAsia" w:ascii="宋体" w:hAnsi="宋体"/>
                <w:szCs w:val="21"/>
              </w:rPr>
              <w:t>1.防静电地板安装不牢固；防静电地板未接地。</w:t>
            </w:r>
          </w:p>
          <w:p w14:paraId="6F23D4BA">
            <w:pPr>
              <w:rPr>
                <w:rFonts w:ascii="宋体" w:hAnsi="宋体"/>
                <w:szCs w:val="21"/>
              </w:rPr>
            </w:pPr>
            <w:r>
              <w:rPr>
                <w:rFonts w:hint="eastAsia" w:ascii="宋体" w:hAnsi="宋体"/>
                <w:szCs w:val="21"/>
              </w:rPr>
              <w:t>2.塑胶地板接缝不顺直、铺装不平，踢脚线脱胶翘边。</w:t>
            </w:r>
          </w:p>
          <w:p w14:paraId="3DFAB6EB">
            <w:pPr>
              <w:rPr>
                <w:rFonts w:ascii="宋体" w:hAnsi="宋体"/>
                <w:szCs w:val="21"/>
              </w:rPr>
            </w:pPr>
            <w:r>
              <w:rPr>
                <w:rFonts w:hint="eastAsia" w:ascii="宋体" w:hAnsi="宋体"/>
                <w:szCs w:val="21"/>
              </w:rPr>
              <w:t>六、栏杆扶手</w:t>
            </w:r>
          </w:p>
          <w:p w14:paraId="33D52CE0">
            <w:pPr>
              <w:rPr>
                <w:rFonts w:ascii="宋体" w:hAnsi="宋体"/>
                <w:szCs w:val="21"/>
              </w:rPr>
            </w:pPr>
            <w:r>
              <w:rPr>
                <w:rFonts w:hint="eastAsia" w:ascii="宋体" w:hAnsi="宋体"/>
                <w:szCs w:val="21"/>
              </w:rPr>
              <w:t>1.临边栏杆间距、高度和挡脚板未按规定设置，玻璃栏板未按规定使用，</w:t>
            </w:r>
            <w:r>
              <w:rPr>
                <w:rFonts w:hint="eastAsia" w:ascii="宋体" w:hAnsi="宋体"/>
                <w:spacing w:val="-6"/>
                <w:szCs w:val="21"/>
              </w:rPr>
              <w:t>落地窗未按要求设置安全防护，存在安全隐患；</w:t>
            </w:r>
          </w:p>
          <w:p w14:paraId="0888BC3D">
            <w:pPr>
              <w:rPr>
                <w:rFonts w:ascii="宋体" w:hAnsi="宋体"/>
                <w:szCs w:val="21"/>
              </w:rPr>
            </w:pPr>
            <w:r>
              <w:rPr>
                <w:rFonts w:hint="eastAsia" w:ascii="宋体" w:hAnsi="宋体"/>
                <w:szCs w:val="21"/>
              </w:rPr>
              <w:t>2.</w:t>
            </w:r>
            <w:r>
              <w:rPr>
                <w:rFonts w:hint="eastAsia" w:ascii="宋体" w:hAnsi="宋体"/>
                <w:spacing w:val="-6"/>
                <w:szCs w:val="21"/>
              </w:rPr>
              <w:t>栏杆立柱固定不牢，玻璃栏板安装不平顺、边缘未打磨；</w:t>
            </w:r>
          </w:p>
          <w:p w14:paraId="678F260D">
            <w:pPr>
              <w:rPr>
                <w:rFonts w:ascii="宋体" w:hAnsi="宋体"/>
                <w:szCs w:val="21"/>
              </w:rPr>
            </w:pPr>
            <w:r>
              <w:rPr>
                <w:rFonts w:hint="eastAsia" w:ascii="宋体" w:hAnsi="宋体"/>
                <w:szCs w:val="21"/>
              </w:rPr>
              <w:t>3.木扶手开裂、接头不平、油漆剥落、色泽不均。不锈钢栏杆、扶手接缝不平顺、表面拉丝不均匀。</w:t>
            </w:r>
          </w:p>
          <w:p w14:paraId="615E0502">
            <w:pPr>
              <w:rPr>
                <w:rFonts w:ascii="宋体" w:hAnsi="宋体"/>
                <w:szCs w:val="21"/>
              </w:rPr>
            </w:pPr>
            <w:r>
              <w:rPr>
                <w:rFonts w:hint="eastAsia" w:ascii="宋体" w:hAnsi="宋体"/>
                <w:szCs w:val="21"/>
              </w:rPr>
              <w:t>七、地漏</w:t>
            </w:r>
          </w:p>
          <w:p w14:paraId="739978FA">
            <w:pPr>
              <w:rPr>
                <w:rFonts w:ascii="宋体" w:hAnsi="宋体"/>
                <w:szCs w:val="21"/>
              </w:rPr>
            </w:pPr>
            <w:r>
              <w:rPr>
                <w:rFonts w:hint="eastAsia" w:ascii="宋体" w:hAnsi="宋体"/>
                <w:szCs w:val="21"/>
              </w:rPr>
              <w:t>1.地漏设计不合理、安装不规范。</w:t>
            </w:r>
          </w:p>
          <w:p w14:paraId="1D36907C">
            <w:pPr>
              <w:rPr>
                <w:rFonts w:ascii="宋体" w:hAnsi="宋体"/>
                <w:szCs w:val="21"/>
              </w:rPr>
            </w:pPr>
            <w:r>
              <w:rPr>
                <w:rFonts w:hint="eastAsia" w:ascii="宋体" w:hAnsi="宋体"/>
                <w:szCs w:val="21"/>
              </w:rPr>
              <w:t>八、其它</w:t>
            </w:r>
          </w:p>
          <w:p w14:paraId="0B3D6187">
            <w:pPr>
              <w:rPr>
                <w:rFonts w:ascii="黑体" w:hAnsi="黑体" w:eastAsia="黑体"/>
                <w:szCs w:val="21"/>
              </w:rPr>
            </w:pPr>
            <w:r>
              <w:rPr>
                <w:rFonts w:hint="eastAsia" w:ascii="宋体" w:hAnsi="宋体"/>
                <w:szCs w:val="21"/>
              </w:rPr>
              <w:t>1.厕浴间和有防滑要求的建筑地面是否做防滑处理。</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5FB3441">
            <w:pPr>
              <w:pStyle w:val="6"/>
              <w:snapToGrid w:val="0"/>
              <w:spacing w:line="288" w:lineRule="auto"/>
              <w:ind w:firstLine="0" w:firstLineChars="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违反强条的扣5-20分；</w:t>
            </w:r>
          </w:p>
          <w:p w14:paraId="7DFF4357">
            <w:pPr>
              <w:pStyle w:val="6"/>
              <w:snapToGrid w:val="0"/>
              <w:spacing w:line="288" w:lineRule="auto"/>
              <w:ind w:firstLine="0" w:firstLineChars="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地面工程存在质量缺陷的每项扣0.1-0.5分；</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DCE9C5D">
            <w:pPr>
              <w:snapToGrid w:val="0"/>
              <w:spacing w:line="288" w:lineRule="auto"/>
              <w:jc w:val="left"/>
              <w:rPr>
                <w:rFonts w:ascii="宋体" w:hAnsi="宋体"/>
                <w:szCs w:val="21"/>
              </w:rPr>
            </w:pPr>
          </w:p>
        </w:tc>
        <w:tc>
          <w:tcPr>
            <w:tcW w:w="851" w:type="dxa"/>
            <w:vMerge w:val="continue"/>
            <w:tcBorders>
              <w:left w:val="single" w:color="auto" w:sz="4" w:space="0"/>
              <w:right w:val="single" w:color="auto" w:sz="4" w:space="0"/>
            </w:tcBorders>
            <w:noWrap w:val="0"/>
            <w:vAlign w:val="center"/>
          </w:tcPr>
          <w:p w14:paraId="3F8AF878">
            <w:pPr>
              <w:snapToGrid w:val="0"/>
              <w:spacing w:line="288" w:lineRule="auto"/>
              <w:jc w:val="center"/>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B61DDF1">
            <w:pPr>
              <w:snapToGrid w:val="0"/>
              <w:spacing w:line="288" w:lineRule="auto"/>
              <w:rPr>
                <w:rFonts w:ascii="宋体" w:hAnsi="宋体"/>
                <w:szCs w:val="21"/>
              </w:rPr>
            </w:pPr>
            <w:r>
              <w:rPr>
                <w:rFonts w:hint="eastAsia" w:ascii="宋体" w:hAnsi="宋体"/>
                <w:szCs w:val="21"/>
              </w:rPr>
              <w:t>对实体地面重点部位拍照，并结合资料佐证</w:t>
            </w:r>
          </w:p>
        </w:tc>
      </w:tr>
      <w:tr w14:paraId="7924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14:paraId="2893AF46">
            <w:pPr>
              <w:snapToGrid w:val="0"/>
              <w:spacing w:line="288" w:lineRule="auto"/>
              <w:jc w:val="center"/>
              <w:rPr>
                <w:rFonts w:ascii="宋体" w:hAnsi="宋体"/>
                <w:szCs w:val="21"/>
              </w:rPr>
            </w:pPr>
            <w:r>
              <w:rPr>
                <w:rFonts w:hint="eastAsia" w:ascii="宋体" w:hAnsi="宋体"/>
                <w:szCs w:val="21"/>
              </w:rPr>
              <w:t>3</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448D187D">
            <w:pPr>
              <w:snapToGrid w:val="0"/>
              <w:spacing w:line="240" w:lineRule="exact"/>
              <w:jc w:val="center"/>
              <w:rPr>
                <w:rFonts w:ascii="宋体" w:hAnsi="宋体"/>
                <w:szCs w:val="21"/>
              </w:rPr>
            </w:pPr>
            <w:r>
              <w:rPr>
                <w:rFonts w:hint="eastAsia" w:ascii="宋体" w:hAnsi="宋体"/>
                <w:szCs w:val="21"/>
              </w:rPr>
              <w:t>新技术</w:t>
            </w:r>
          </w:p>
        </w:tc>
        <w:tc>
          <w:tcPr>
            <w:tcW w:w="5656" w:type="dxa"/>
            <w:tcBorders>
              <w:top w:val="single" w:color="auto" w:sz="4" w:space="0"/>
              <w:left w:val="single" w:color="auto" w:sz="4" w:space="0"/>
              <w:bottom w:val="single" w:color="auto" w:sz="4" w:space="0"/>
              <w:right w:val="single" w:color="auto" w:sz="4" w:space="0"/>
            </w:tcBorders>
            <w:noWrap w:val="0"/>
            <w:vAlign w:val="center"/>
          </w:tcPr>
          <w:p w14:paraId="73445607">
            <w:pPr>
              <w:snapToGrid w:val="0"/>
              <w:spacing w:line="276" w:lineRule="auto"/>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有创新技术、工艺、工法等；</w:t>
            </w:r>
          </w:p>
          <w:p w14:paraId="56616E99">
            <w:pPr>
              <w:snapToGrid w:val="0"/>
              <w:spacing w:line="276"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采用了新材料、新工艺、新技术或有利于环保节能等的材料、技术、措施、工艺、工法等；</w:t>
            </w:r>
          </w:p>
          <w:p w14:paraId="2FA81870">
            <w:pPr>
              <w:snapToGrid w:val="0"/>
              <w:spacing w:line="276"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获得了与申报工程相关的发明专利、实用新型专利、省级或以上工艺工法等；</w:t>
            </w:r>
          </w:p>
          <w:p w14:paraId="0D4D1CD2">
            <w:pPr>
              <w:snapToGrid w:val="0"/>
              <w:spacing w:line="276" w:lineRule="auto"/>
              <w:rPr>
                <w:rFonts w:hint="eastAsia" w:ascii="宋体" w:hAnsi="宋体"/>
                <w:szCs w:val="21"/>
              </w:rPr>
            </w:pPr>
            <w:r>
              <w:rPr>
                <w:rFonts w:hint="eastAsia" w:ascii="宋体" w:hAnsi="宋体"/>
                <w:szCs w:val="21"/>
              </w:rPr>
              <w:t>4</w:t>
            </w:r>
            <w:r>
              <w:rPr>
                <w:rFonts w:ascii="宋体" w:hAnsi="宋体"/>
                <w:szCs w:val="21"/>
              </w:rPr>
              <w:t>.</w:t>
            </w:r>
            <w:r>
              <w:rPr>
                <w:rFonts w:hint="eastAsia" w:ascii="宋体" w:hAnsi="宋体"/>
                <w:szCs w:val="21"/>
              </w:rPr>
              <w:t>本工程已获得建筑装饰行业科学技术奖。</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CC13C77">
            <w:pPr>
              <w:snapToGrid w:val="0"/>
              <w:spacing w:line="276" w:lineRule="auto"/>
              <w:jc w:val="left"/>
              <w:rPr>
                <w:rFonts w:ascii="宋体" w:hAnsi="宋体"/>
                <w:szCs w:val="21"/>
              </w:rPr>
            </w:pPr>
            <w:r>
              <w:rPr>
                <w:rFonts w:hint="eastAsia" w:ascii="宋体" w:hAnsi="宋体" w:cs="宋体"/>
                <w:szCs w:val="21"/>
              </w:rPr>
              <w:t>没有新技术应用内容的，扣</w:t>
            </w:r>
            <w:r>
              <w:rPr>
                <w:rFonts w:ascii="宋体" w:hAnsi="宋体" w:cs="宋体"/>
                <w:szCs w:val="21"/>
              </w:rPr>
              <w:t>1</w:t>
            </w:r>
            <w:r>
              <w:rPr>
                <w:rFonts w:hint="eastAsia" w:ascii="宋体" w:hAnsi="宋体" w:cs="宋体"/>
                <w:szCs w:val="21"/>
              </w:rPr>
              <w:t>-</w:t>
            </w:r>
            <w:r>
              <w:rPr>
                <w:rFonts w:ascii="宋体" w:hAnsi="宋体" w:cs="宋体"/>
                <w:szCs w:val="21"/>
              </w:rPr>
              <w:t>3</w:t>
            </w:r>
            <w:r>
              <w:rPr>
                <w:rFonts w:hint="eastAsia" w:ascii="宋体" w:hAnsi="宋体" w:cs="宋体"/>
                <w:szCs w:val="21"/>
              </w:rPr>
              <w:t>分。</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A647A76">
            <w:pPr>
              <w:snapToGrid w:val="0"/>
              <w:spacing w:line="288" w:lineRule="auto"/>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032D66DB">
            <w:pPr>
              <w:snapToGrid w:val="0"/>
              <w:spacing w:line="288" w:lineRule="auto"/>
              <w:jc w:val="center"/>
              <w:rPr>
                <w:rFonts w:ascii="宋体" w:hAnsi="宋体"/>
                <w:szCs w:val="21"/>
              </w:rPr>
            </w:pPr>
            <w:r>
              <w:rPr>
                <w:rFonts w:ascii="宋体" w:hAnsi="宋体"/>
                <w:szCs w:val="21"/>
              </w:rPr>
              <w:t>5</w:t>
            </w:r>
            <w:r>
              <w:rPr>
                <w:rFonts w:hint="eastAsia" w:ascii="宋体" w:hAnsi="宋体"/>
                <w:szCs w:val="21"/>
              </w:rPr>
              <w:t>分</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B765977">
            <w:pPr>
              <w:snapToGrid w:val="0"/>
              <w:spacing w:line="288" w:lineRule="auto"/>
              <w:rPr>
                <w:rFonts w:hint="eastAsia" w:ascii="宋体" w:hAnsi="宋体"/>
                <w:szCs w:val="21"/>
              </w:rPr>
            </w:pPr>
            <w:r>
              <w:rPr>
                <w:rFonts w:hint="eastAsia" w:ascii="宋体" w:hAnsi="宋体"/>
                <w:szCs w:val="21"/>
              </w:rPr>
              <w:t>查：</w:t>
            </w:r>
          </w:p>
          <w:p w14:paraId="2EB649CD">
            <w:pPr>
              <w:snapToGrid w:val="0"/>
              <w:spacing w:line="288" w:lineRule="auto"/>
              <w:rPr>
                <w:rFonts w:ascii="宋体" w:hAnsi="宋体"/>
                <w:szCs w:val="21"/>
              </w:rPr>
            </w:pPr>
            <w:r>
              <w:rPr>
                <w:rFonts w:hint="eastAsia" w:ascii="宋体" w:hAnsi="宋体"/>
                <w:szCs w:val="21"/>
              </w:rPr>
              <w:t>工程实体、图纸、质量管理与技术资料等。</w:t>
            </w:r>
          </w:p>
        </w:tc>
      </w:tr>
      <w:tr w14:paraId="09EBE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14:paraId="555D7438">
            <w:pPr>
              <w:snapToGrid w:val="0"/>
              <w:spacing w:line="288" w:lineRule="auto"/>
              <w:jc w:val="center"/>
              <w:rPr>
                <w:rFonts w:ascii="宋体" w:hAnsi="宋体"/>
                <w:szCs w:val="21"/>
              </w:rPr>
            </w:pPr>
            <w:r>
              <w:rPr>
                <w:rFonts w:hint="eastAsia" w:ascii="宋体" w:hAnsi="宋体"/>
                <w:szCs w:val="21"/>
              </w:rPr>
              <w:t>4</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1C70E034">
            <w:pPr>
              <w:snapToGrid w:val="0"/>
              <w:spacing w:line="240" w:lineRule="exact"/>
              <w:jc w:val="center"/>
              <w:rPr>
                <w:rFonts w:ascii="宋体" w:hAnsi="宋体"/>
                <w:szCs w:val="21"/>
              </w:rPr>
            </w:pPr>
            <w:r>
              <w:rPr>
                <w:rFonts w:hint="eastAsia" w:ascii="宋体" w:hAnsi="宋体"/>
                <w:szCs w:val="21"/>
              </w:rPr>
              <w:t>总体印象</w:t>
            </w:r>
          </w:p>
          <w:p w14:paraId="5EB39D07">
            <w:pPr>
              <w:snapToGrid w:val="0"/>
              <w:spacing w:line="240" w:lineRule="exact"/>
              <w:jc w:val="center"/>
              <w:rPr>
                <w:rFonts w:ascii="宋体" w:hAnsi="宋体"/>
                <w:szCs w:val="21"/>
              </w:rPr>
            </w:pPr>
          </w:p>
        </w:tc>
        <w:tc>
          <w:tcPr>
            <w:tcW w:w="5656" w:type="dxa"/>
            <w:tcBorders>
              <w:top w:val="single" w:color="auto" w:sz="4" w:space="0"/>
              <w:left w:val="single" w:color="auto" w:sz="4" w:space="0"/>
              <w:bottom w:val="single" w:color="auto" w:sz="4" w:space="0"/>
              <w:right w:val="single" w:color="auto" w:sz="4" w:space="0"/>
            </w:tcBorders>
            <w:noWrap w:val="0"/>
            <w:vAlign w:val="center"/>
          </w:tcPr>
          <w:p w14:paraId="3A824A3B">
            <w:pPr>
              <w:snapToGrid w:val="0"/>
              <w:spacing w:line="276" w:lineRule="auto"/>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组织工作准备充分，人员到位（项目经理或执行经理、技术负责人、资料员等相关人员应到场），汇报PPT内容重点突出、简单明了；</w:t>
            </w:r>
          </w:p>
          <w:p w14:paraId="7BD13A02">
            <w:pPr>
              <w:snapToGrid w:val="0"/>
              <w:spacing w:line="276"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资料准备充分有序，易于查找；</w:t>
            </w:r>
          </w:p>
          <w:p w14:paraId="17F41957">
            <w:pPr>
              <w:snapToGrid w:val="0"/>
              <w:spacing w:line="276"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业主征询意见；</w:t>
            </w:r>
          </w:p>
          <w:p w14:paraId="53C77266">
            <w:pPr>
              <w:snapToGrid w:val="0"/>
              <w:spacing w:line="276"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工程实体检查顺畅不受阻。</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DF7C225">
            <w:pPr>
              <w:pStyle w:val="6"/>
              <w:snapToGrid w:val="0"/>
              <w:spacing w:line="276" w:lineRule="auto"/>
              <w:ind w:firstLine="0" w:firstLineChars="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组织工作、人员到位情况欠佳的扣1-5分；</w:t>
            </w:r>
          </w:p>
          <w:p w14:paraId="29EFC9D1">
            <w:pPr>
              <w:pStyle w:val="6"/>
              <w:snapToGrid w:val="0"/>
              <w:spacing w:line="276" w:lineRule="auto"/>
              <w:ind w:firstLine="0" w:firstLineChars="0"/>
              <w:rPr>
                <w:rFonts w:ascii="宋体" w:hAnsi="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其他问题扣1～3分</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F11185F">
            <w:pPr>
              <w:snapToGrid w:val="0"/>
              <w:spacing w:line="288" w:lineRule="auto"/>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128FCEFF">
            <w:pPr>
              <w:snapToGrid w:val="0"/>
              <w:spacing w:line="288" w:lineRule="auto"/>
              <w:jc w:val="center"/>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分</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45D0BDC">
            <w:pPr>
              <w:snapToGrid w:val="0"/>
              <w:spacing w:line="288" w:lineRule="auto"/>
              <w:rPr>
                <w:rFonts w:ascii="宋体" w:hAnsi="宋体"/>
                <w:szCs w:val="21"/>
              </w:rPr>
            </w:pPr>
            <w:r>
              <w:rPr>
                <w:rFonts w:hint="eastAsia" w:ascii="宋体" w:hAnsi="宋体"/>
                <w:szCs w:val="21"/>
              </w:rPr>
              <w:t>查：</w:t>
            </w:r>
          </w:p>
          <w:p w14:paraId="32974993">
            <w:pPr>
              <w:snapToGrid w:val="0"/>
              <w:spacing w:line="288" w:lineRule="auto"/>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组织准备情况；</w:t>
            </w:r>
          </w:p>
          <w:p w14:paraId="71B16D1F">
            <w:pPr>
              <w:snapToGrid w:val="0"/>
              <w:spacing w:line="288" w:lineRule="auto"/>
              <w:rPr>
                <w:rFonts w:ascii="宋体" w:hAnsi="宋体"/>
                <w:szCs w:val="21"/>
              </w:rPr>
            </w:pPr>
            <w:r>
              <w:rPr>
                <w:rFonts w:ascii="宋体" w:hAnsi="宋体"/>
                <w:szCs w:val="21"/>
              </w:rPr>
              <w:t>2.</w:t>
            </w:r>
            <w:r>
              <w:rPr>
                <w:rFonts w:hint="eastAsia" w:ascii="宋体" w:hAnsi="宋体"/>
                <w:szCs w:val="21"/>
              </w:rPr>
              <w:t>PPT（项目概况、施工范围、重点难点亮点、施工过程中情况照片等，汇报时间10分钟内）；</w:t>
            </w:r>
          </w:p>
          <w:p w14:paraId="533756D4">
            <w:pPr>
              <w:snapToGrid w:val="0"/>
              <w:spacing w:line="288"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用户意见。</w:t>
            </w:r>
          </w:p>
        </w:tc>
      </w:tr>
    </w:tbl>
    <w:p w14:paraId="65F17AF4"/>
    <w:p w14:paraId="39EBB9B6">
      <w:pPr>
        <w:jc w:val="left"/>
        <w:outlineLvl w:val="1"/>
        <w:rPr>
          <w:rFonts w:hint="default" w:ascii="黑体" w:hAnsi="黑体" w:eastAsia="黑体"/>
          <w:sz w:val="30"/>
          <w:szCs w:val="30"/>
          <w:lang w:val="en-US" w:eastAsia="zh-CN"/>
        </w:rPr>
      </w:pPr>
      <w:bookmarkStart w:id="11" w:name="_Toc23941"/>
      <w:r>
        <w:rPr>
          <w:rFonts w:hint="eastAsia" w:ascii="黑体" w:hAnsi="黑体" w:eastAsia="黑体"/>
          <w:sz w:val="30"/>
          <w:szCs w:val="30"/>
          <w:lang w:eastAsia="zh-CN"/>
        </w:rPr>
        <w:t>表二：</w:t>
      </w:r>
    </w:p>
    <w:p w14:paraId="4C823E4F">
      <w:pPr>
        <w:jc w:val="center"/>
        <w:outlineLvl w:val="1"/>
        <w:rPr>
          <w:rFonts w:ascii="宋体" w:hAnsi="宋体"/>
          <w:bCs/>
          <w:sz w:val="10"/>
          <w:szCs w:val="10"/>
        </w:rPr>
      </w:pPr>
      <w:r>
        <w:rPr>
          <w:rFonts w:hint="eastAsia" w:ascii="黑体" w:hAnsi="黑体" w:eastAsia="黑体"/>
          <w:sz w:val="30"/>
          <w:szCs w:val="30"/>
        </w:rPr>
        <w:t>展陈工程复查实施细则</w:t>
      </w:r>
      <w:bookmarkEnd w:id="11"/>
    </w:p>
    <w:tbl>
      <w:tblPr>
        <w:tblStyle w:val="4"/>
        <w:tblW w:w="14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7"/>
        <w:gridCol w:w="4961"/>
        <w:gridCol w:w="2409"/>
        <w:gridCol w:w="1701"/>
        <w:gridCol w:w="851"/>
        <w:gridCol w:w="2268"/>
      </w:tblGrid>
      <w:tr w14:paraId="08A64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noWrap w:val="0"/>
            <w:vAlign w:val="center"/>
          </w:tcPr>
          <w:p w14:paraId="078A0923">
            <w:pPr>
              <w:snapToGrid w:val="0"/>
              <w:spacing w:line="288" w:lineRule="auto"/>
              <w:jc w:val="center"/>
              <w:rPr>
                <w:b/>
                <w:bCs/>
                <w:sz w:val="24"/>
              </w:rPr>
            </w:pPr>
            <w:r>
              <w:rPr>
                <w:b/>
                <w:bCs/>
                <w:sz w:val="24"/>
              </w:rPr>
              <w:t>序号</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26732FFB">
            <w:pPr>
              <w:snapToGrid w:val="0"/>
              <w:spacing w:line="288" w:lineRule="auto"/>
              <w:jc w:val="center"/>
              <w:rPr>
                <w:b/>
                <w:bCs/>
                <w:sz w:val="24"/>
              </w:rPr>
            </w:pPr>
            <w:r>
              <w:rPr>
                <w:rFonts w:hint="eastAsia"/>
                <w:b/>
                <w:bCs/>
                <w:sz w:val="24"/>
              </w:rPr>
              <w:t>复查项目</w:t>
            </w:r>
          </w:p>
        </w:tc>
        <w:tc>
          <w:tcPr>
            <w:tcW w:w="4961" w:type="dxa"/>
            <w:tcBorders>
              <w:top w:val="single" w:color="auto" w:sz="4" w:space="0"/>
              <w:left w:val="single" w:color="auto" w:sz="4" w:space="0"/>
              <w:bottom w:val="single" w:color="auto" w:sz="4" w:space="0"/>
              <w:right w:val="single" w:color="auto" w:sz="4" w:space="0"/>
            </w:tcBorders>
            <w:noWrap w:val="0"/>
            <w:vAlign w:val="center"/>
          </w:tcPr>
          <w:p w14:paraId="0D6FF11B">
            <w:pPr>
              <w:snapToGrid w:val="0"/>
              <w:spacing w:line="288" w:lineRule="auto"/>
              <w:jc w:val="center"/>
              <w:rPr>
                <w:b/>
                <w:bCs/>
                <w:sz w:val="24"/>
              </w:rPr>
            </w:pPr>
            <w:r>
              <w:rPr>
                <w:rFonts w:hint="eastAsia"/>
                <w:b/>
                <w:bCs/>
                <w:sz w:val="24"/>
              </w:rPr>
              <w:t>复查内容</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1847A9DD">
            <w:pPr>
              <w:snapToGrid w:val="0"/>
              <w:spacing w:line="288" w:lineRule="auto"/>
              <w:jc w:val="center"/>
              <w:rPr>
                <w:b/>
                <w:bCs/>
                <w:sz w:val="24"/>
              </w:rPr>
            </w:pPr>
            <w:r>
              <w:rPr>
                <w:rFonts w:hint="eastAsia"/>
                <w:b/>
                <w:bCs/>
                <w:sz w:val="24"/>
              </w:rPr>
              <w:t>评分标准</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1C1E273">
            <w:pPr>
              <w:snapToGrid w:val="0"/>
              <w:spacing w:line="288" w:lineRule="auto"/>
              <w:jc w:val="center"/>
              <w:rPr>
                <w:b/>
                <w:bCs/>
                <w:sz w:val="24"/>
              </w:rPr>
            </w:pPr>
            <w:r>
              <w:rPr>
                <w:b/>
                <w:bCs/>
                <w:sz w:val="24"/>
              </w:rPr>
              <w:t>备注</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2CEE4B82">
            <w:pPr>
              <w:snapToGrid w:val="0"/>
              <w:spacing w:line="288" w:lineRule="auto"/>
              <w:jc w:val="center"/>
              <w:rPr>
                <w:b/>
                <w:bCs/>
                <w:sz w:val="24"/>
              </w:rPr>
            </w:pPr>
            <w:r>
              <w:rPr>
                <w:rFonts w:hint="eastAsia"/>
                <w:b/>
                <w:bCs/>
                <w:sz w:val="24"/>
              </w:rPr>
              <w:t>分值</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93C6E05">
            <w:pPr>
              <w:snapToGrid w:val="0"/>
              <w:spacing w:line="288" w:lineRule="auto"/>
              <w:jc w:val="center"/>
              <w:rPr>
                <w:b/>
                <w:bCs/>
                <w:sz w:val="24"/>
              </w:rPr>
            </w:pPr>
            <w:r>
              <w:rPr>
                <w:rFonts w:hint="eastAsia"/>
                <w:b/>
                <w:bCs/>
                <w:sz w:val="24"/>
              </w:rPr>
              <w:t>复查方法</w:t>
            </w:r>
          </w:p>
        </w:tc>
      </w:tr>
      <w:tr w14:paraId="04435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567" w:type="dxa"/>
            <w:vMerge w:val="restart"/>
            <w:tcBorders>
              <w:top w:val="single" w:color="auto" w:sz="4" w:space="0"/>
              <w:left w:val="single" w:color="auto" w:sz="4" w:space="0"/>
              <w:right w:val="single" w:color="auto" w:sz="4" w:space="0"/>
            </w:tcBorders>
            <w:noWrap w:val="0"/>
            <w:vAlign w:val="center"/>
          </w:tcPr>
          <w:p w14:paraId="7DD39EBF">
            <w:pPr>
              <w:snapToGrid w:val="0"/>
              <w:spacing w:line="288" w:lineRule="auto"/>
              <w:jc w:val="center"/>
              <w:rPr>
                <w:rFonts w:ascii="宋体" w:hAnsi="宋体"/>
                <w:szCs w:val="21"/>
              </w:rPr>
            </w:pPr>
            <w:r>
              <w:rPr>
                <w:rFonts w:ascii="宋体" w:hAnsi="宋体"/>
                <w:szCs w:val="21"/>
              </w:rPr>
              <w:t>1</w:t>
            </w:r>
          </w:p>
        </w:tc>
        <w:tc>
          <w:tcPr>
            <w:tcW w:w="1277" w:type="dxa"/>
            <w:vMerge w:val="restart"/>
            <w:tcBorders>
              <w:top w:val="single" w:color="auto" w:sz="4" w:space="0"/>
              <w:left w:val="single" w:color="auto" w:sz="4" w:space="0"/>
              <w:right w:val="single" w:color="auto" w:sz="4" w:space="0"/>
            </w:tcBorders>
            <w:noWrap w:val="0"/>
            <w:vAlign w:val="center"/>
          </w:tcPr>
          <w:p w14:paraId="2598749B">
            <w:pPr>
              <w:snapToGrid w:val="0"/>
              <w:spacing w:line="240" w:lineRule="exact"/>
              <w:jc w:val="center"/>
              <w:rPr>
                <w:rFonts w:ascii="宋体" w:hAnsi="宋体"/>
                <w:szCs w:val="21"/>
              </w:rPr>
            </w:pPr>
            <w:r>
              <w:rPr>
                <w:rFonts w:hint="eastAsia" w:ascii="宋体" w:hAnsi="宋体"/>
                <w:szCs w:val="21"/>
              </w:rPr>
              <w:t>资料</w:t>
            </w:r>
          </w:p>
        </w:tc>
        <w:tc>
          <w:tcPr>
            <w:tcW w:w="4961" w:type="dxa"/>
            <w:tcBorders>
              <w:top w:val="single" w:color="auto" w:sz="4" w:space="0"/>
              <w:left w:val="single" w:color="auto" w:sz="4" w:space="0"/>
              <w:bottom w:val="single" w:color="auto" w:sz="4" w:space="0"/>
              <w:right w:val="single" w:color="auto" w:sz="4" w:space="0"/>
            </w:tcBorders>
            <w:noWrap w:val="0"/>
            <w:vAlign w:val="center"/>
          </w:tcPr>
          <w:p w14:paraId="5A337714">
            <w:pPr>
              <w:snapToGrid w:val="0"/>
              <w:spacing w:line="276" w:lineRule="auto"/>
              <w:rPr>
                <w:rFonts w:ascii="黑体" w:hAnsi="黑体" w:eastAsia="黑体"/>
                <w:szCs w:val="21"/>
              </w:rPr>
            </w:pPr>
            <w:r>
              <w:rPr>
                <w:rFonts w:hint="eastAsia" w:ascii="黑体" w:hAnsi="黑体" w:eastAsia="黑体"/>
                <w:szCs w:val="21"/>
              </w:rPr>
              <w:t>必要文件：</w:t>
            </w:r>
          </w:p>
          <w:p w14:paraId="3AAAADFE">
            <w:pPr>
              <w:snapToGrid w:val="0"/>
              <w:spacing w:line="276" w:lineRule="auto"/>
              <w:rPr>
                <w:rFonts w:ascii="宋体" w:hAnsi="宋体"/>
                <w:szCs w:val="21"/>
              </w:rPr>
            </w:pPr>
            <w:r>
              <w:rPr>
                <w:rFonts w:hint="eastAsia" w:ascii="宋体" w:hAnsi="宋体"/>
                <w:szCs w:val="21"/>
              </w:rPr>
              <w:t>1.企业法人营业证照、资质等级证书、安全生产许可证（此三项上一年度参评企业可提供加盖本单位公章的复印件）；</w:t>
            </w:r>
          </w:p>
          <w:p w14:paraId="74FA3C71">
            <w:pPr>
              <w:pStyle w:val="6"/>
              <w:snapToGrid w:val="0"/>
              <w:spacing w:line="276" w:lineRule="auto"/>
              <w:ind w:left="33" w:firstLine="0" w:firstLineChars="0"/>
              <w:rPr>
                <w:rFonts w:ascii="宋体" w:hAnsi="宋体"/>
                <w:szCs w:val="21"/>
              </w:rPr>
            </w:pPr>
            <w:r>
              <w:rPr>
                <w:rFonts w:hint="eastAsia" w:ascii="宋体" w:hAnsi="宋体"/>
                <w:szCs w:val="21"/>
              </w:rPr>
              <w:t>2.项目经理注册建造师证书、安全生产考核合格证；</w:t>
            </w:r>
          </w:p>
          <w:p w14:paraId="72C26B1E">
            <w:pPr>
              <w:pStyle w:val="6"/>
              <w:snapToGrid w:val="0"/>
              <w:spacing w:line="276" w:lineRule="auto"/>
              <w:ind w:firstLine="0" w:firstLineChars="0"/>
            </w:pPr>
            <w:r>
              <w:rPr>
                <w:rFonts w:ascii="宋体" w:hAnsi="宋体"/>
                <w:szCs w:val="21"/>
              </w:rPr>
              <w:t>3.</w:t>
            </w:r>
            <w:r>
              <w:rPr>
                <w:rFonts w:hint="eastAsia" w:ascii="宋体" w:hAnsi="宋体"/>
                <w:szCs w:val="21"/>
              </w:rPr>
              <w:t>项目承包合同；</w:t>
            </w:r>
          </w:p>
          <w:p w14:paraId="39D4C3F8">
            <w:pPr>
              <w:pStyle w:val="6"/>
              <w:snapToGrid w:val="0"/>
              <w:spacing w:line="276" w:lineRule="auto"/>
              <w:ind w:left="33" w:firstLine="0" w:firstLineChars="0"/>
            </w:pPr>
            <w:r>
              <w:rPr>
                <w:rFonts w:hint="eastAsia" w:ascii="宋体" w:hAnsi="宋体"/>
                <w:szCs w:val="21"/>
              </w:rPr>
              <w:t>4.施工许可相关证明文件</w:t>
            </w:r>
            <w:r>
              <w:rPr>
                <w:rFonts w:hint="eastAsia"/>
              </w:rPr>
              <w:t>（或政府批复项目的有关证明）</w:t>
            </w:r>
            <w:r>
              <w:rPr>
                <w:rFonts w:hint="eastAsia" w:ascii="宋体" w:hAnsi="宋体"/>
                <w:szCs w:val="21"/>
              </w:rPr>
              <w:t>；</w:t>
            </w:r>
          </w:p>
          <w:p w14:paraId="3BF717E9">
            <w:pPr>
              <w:snapToGrid w:val="0"/>
              <w:spacing w:line="276" w:lineRule="auto"/>
              <w:rPr>
                <w:rFonts w:ascii="宋体" w:hAnsi="宋体"/>
                <w:szCs w:val="21"/>
              </w:rPr>
            </w:pPr>
            <w:r>
              <w:rPr>
                <w:rFonts w:hint="eastAsia" w:ascii="宋体" w:hAnsi="宋体"/>
                <w:szCs w:val="21"/>
              </w:rPr>
              <w:t>5.项目竣工验收证明文件（相关责任主体签章必须齐全）；</w:t>
            </w:r>
          </w:p>
          <w:p w14:paraId="4747B4B4">
            <w:pPr>
              <w:snapToGrid w:val="0"/>
              <w:spacing w:line="276" w:lineRule="auto"/>
              <w:rPr>
                <w:rFonts w:ascii="宋体" w:hAnsi="宋体"/>
                <w:szCs w:val="21"/>
              </w:rPr>
            </w:pPr>
            <w:r>
              <w:rPr>
                <w:rFonts w:hint="eastAsia" w:ascii="宋体" w:hAnsi="宋体"/>
                <w:szCs w:val="21"/>
              </w:rPr>
              <w:t>6.消防验收合格证明或消防竣工备案证明；</w:t>
            </w:r>
          </w:p>
          <w:p w14:paraId="4957FE15">
            <w:pPr>
              <w:snapToGrid w:val="0"/>
              <w:spacing w:line="276" w:lineRule="auto"/>
              <w:rPr>
                <w:rFonts w:ascii="宋体" w:hAnsi="宋体"/>
                <w:szCs w:val="21"/>
              </w:rPr>
            </w:pPr>
            <w:r>
              <w:rPr>
                <w:rFonts w:hint="eastAsia" w:ascii="宋体" w:hAnsi="宋体"/>
                <w:szCs w:val="21"/>
              </w:rPr>
              <w:t>7.室内环境质量检测报告，需由具备相应资质的检测机构出具；</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0D480DC6">
            <w:pPr>
              <w:snapToGrid w:val="0"/>
              <w:spacing w:line="288" w:lineRule="auto"/>
              <w:jc w:val="left"/>
              <w:rPr>
                <w:rFonts w:ascii="宋体" w:hAnsi="宋体"/>
                <w:szCs w:val="21"/>
              </w:rPr>
            </w:pPr>
            <w:r>
              <w:rPr>
                <w:rFonts w:hint="eastAsia" w:ascii="宋体" w:hAnsi="宋体"/>
                <w:szCs w:val="21"/>
              </w:rPr>
              <w:t>必要文件有一项不合格或不符合要求者不予评审。</w:t>
            </w:r>
          </w:p>
        </w:tc>
        <w:tc>
          <w:tcPr>
            <w:tcW w:w="1701" w:type="dxa"/>
            <w:tcBorders>
              <w:top w:val="single" w:color="auto" w:sz="4" w:space="0"/>
              <w:left w:val="single" w:color="auto" w:sz="4" w:space="0"/>
              <w:right w:val="single" w:color="auto" w:sz="4" w:space="0"/>
            </w:tcBorders>
            <w:noWrap w:val="0"/>
            <w:vAlign w:val="center"/>
          </w:tcPr>
          <w:p w14:paraId="5198DA88">
            <w:pPr>
              <w:snapToGrid w:val="0"/>
              <w:spacing w:line="288" w:lineRule="auto"/>
              <w:jc w:val="left"/>
              <w:rPr>
                <w:rFonts w:ascii="宋体" w:hAnsi="宋体"/>
                <w:szCs w:val="21"/>
              </w:rPr>
            </w:pPr>
            <w:r>
              <w:rPr>
                <w:rFonts w:hint="eastAsia" w:ascii="宋体" w:hAnsi="宋体"/>
                <w:szCs w:val="21"/>
              </w:rPr>
              <w:t>必要文件应为原件或可网查的电子文件打印件并加盖申报单位鲜章</w:t>
            </w:r>
          </w:p>
        </w:tc>
        <w:tc>
          <w:tcPr>
            <w:tcW w:w="851" w:type="dxa"/>
            <w:vMerge w:val="restart"/>
            <w:tcBorders>
              <w:top w:val="single" w:color="auto" w:sz="4" w:space="0"/>
              <w:left w:val="single" w:color="auto" w:sz="4" w:space="0"/>
              <w:right w:val="single" w:color="auto" w:sz="4" w:space="0"/>
            </w:tcBorders>
            <w:noWrap w:val="0"/>
            <w:vAlign w:val="center"/>
          </w:tcPr>
          <w:p w14:paraId="2F991EBC">
            <w:pPr>
              <w:snapToGrid w:val="0"/>
              <w:spacing w:line="288" w:lineRule="auto"/>
              <w:jc w:val="center"/>
              <w:rPr>
                <w:rFonts w:ascii="宋体" w:hAnsi="宋体"/>
                <w:szCs w:val="21"/>
              </w:rPr>
            </w:pPr>
            <w:r>
              <w:rPr>
                <w:rFonts w:hint="eastAsia" w:ascii="宋体" w:hAnsi="宋体"/>
                <w:szCs w:val="21"/>
              </w:rPr>
              <w:t>2</w:t>
            </w:r>
            <w:r>
              <w:rPr>
                <w:rFonts w:ascii="宋体" w:hAnsi="宋体"/>
                <w:szCs w:val="21"/>
              </w:rPr>
              <w:t>0</w:t>
            </w:r>
            <w:r>
              <w:rPr>
                <w:rFonts w:hint="eastAsia" w:ascii="宋体" w:hAnsi="宋体"/>
                <w:szCs w:val="21"/>
              </w:rPr>
              <w:t>分</w:t>
            </w:r>
          </w:p>
        </w:tc>
        <w:tc>
          <w:tcPr>
            <w:tcW w:w="2268" w:type="dxa"/>
            <w:tcBorders>
              <w:top w:val="single" w:color="auto" w:sz="4" w:space="0"/>
              <w:left w:val="single" w:color="auto" w:sz="4" w:space="0"/>
              <w:right w:val="single" w:color="auto" w:sz="4" w:space="0"/>
            </w:tcBorders>
            <w:noWrap w:val="0"/>
            <w:vAlign w:val="center"/>
          </w:tcPr>
          <w:p w14:paraId="61465439">
            <w:pPr>
              <w:snapToGrid w:val="0"/>
              <w:spacing w:line="276" w:lineRule="auto"/>
              <w:rPr>
                <w:rFonts w:ascii="宋体" w:hAnsi="宋体"/>
                <w:szCs w:val="21"/>
              </w:rPr>
            </w:pPr>
            <w:r>
              <w:rPr>
                <w:rFonts w:hint="eastAsia" w:ascii="宋体" w:hAnsi="宋体"/>
                <w:szCs w:val="21"/>
              </w:rPr>
              <w:t>查：相关文件资料原件或电子证件（提供网查链接）；</w:t>
            </w:r>
          </w:p>
          <w:p w14:paraId="73F392AA">
            <w:pPr>
              <w:snapToGrid w:val="0"/>
              <w:spacing w:line="276" w:lineRule="auto"/>
              <w:rPr>
                <w:rFonts w:ascii="宋体" w:hAnsi="宋体"/>
                <w:szCs w:val="21"/>
              </w:rPr>
            </w:pPr>
            <w:r>
              <w:rPr>
                <w:rFonts w:hint="eastAsia" w:ascii="宋体" w:hAnsi="宋体"/>
                <w:szCs w:val="21"/>
              </w:rPr>
              <w:t>原件已存入城建档案馆或城建档案管理机构的可提供由档案馆或城建档案管理机构出具的加盖出具单位和申报单位鲜章并注明“原件存于X</w:t>
            </w:r>
            <w:r>
              <w:rPr>
                <w:rFonts w:ascii="宋体" w:hAnsi="宋体"/>
                <w:szCs w:val="21"/>
              </w:rPr>
              <w:t>XX</w:t>
            </w:r>
            <w:r>
              <w:rPr>
                <w:rFonts w:hint="eastAsia" w:ascii="宋体" w:hAnsi="宋体"/>
                <w:szCs w:val="21"/>
              </w:rPr>
              <w:t>，复印件与原件相同”字样的复印件。</w:t>
            </w:r>
          </w:p>
        </w:tc>
      </w:tr>
      <w:tr w14:paraId="3B183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67" w:type="dxa"/>
            <w:vMerge w:val="continue"/>
            <w:tcBorders>
              <w:left w:val="single" w:color="auto" w:sz="4" w:space="0"/>
              <w:right w:val="single" w:color="auto" w:sz="4" w:space="0"/>
            </w:tcBorders>
            <w:noWrap w:val="0"/>
            <w:vAlign w:val="center"/>
          </w:tcPr>
          <w:p w14:paraId="0A53A8E6">
            <w:pPr>
              <w:snapToGrid w:val="0"/>
              <w:spacing w:line="288" w:lineRule="auto"/>
              <w:jc w:val="center"/>
              <w:rPr>
                <w:rFonts w:ascii="宋体" w:hAnsi="宋体"/>
                <w:szCs w:val="21"/>
              </w:rPr>
            </w:pPr>
          </w:p>
        </w:tc>
        <w:tc>
          <w:tcPr>
            <w:tcW w:w="1277" w:type="dxa"/>
            <w:vMerge w:val="continue"/>
            <w:tcBorders>
              <w:left w:val="single" w:color="auto" w:sz="4" w:space="0"/>
              <w:right w:val="single" w:color="auto" w:sz="4" w:space="0"/>
            </w:tcBorders>
            <w:noWrap w:val="0"/>
            <w:vAlign w:val="center"/>
          </w:tcPr>
          <w:p w14:paraId="153F5C38">
            <w:pPr>
              <w:snapToGrid w:val="0"/>
              <w:spacing w:line="240" w:lineRule="exact"/>
              <w:jc w:val="center"/>
              <w:rPr>
                <w:rFonts w:ascii="宋体" w:hAnsi="宋体"/>
                <w:szCs w:val="21"/>
              </w:rPr>
            </w:pPr>
          </w:p>
        </w:tc>
        <w:tc>
          <w:tcPr>
            <w:tcW w:w="4961" w:type="dxa"/>
            <w:tcBorders>
              <w:top w:val="single" w:color="auto" w:sz="4" w:space="0"/>
              <w:left w:val="single" w:color="auto" w:sz="4" w:space="0"/>
              <w:bottom w:val="single" w:color="auto" w:sz="4" w:space="0"/>
              <w:right w:val="single" w:color="auto" w:sz="4" w:space="0"/>
            </w:tcBorders>
            <w:noWrap w:val="0"/>
            <w:vAlign w:val="center"/>
          </w:tcPr>
          <w:p w14:paraId="1BD22B30">
            <w:pPr>
              <w:snapToGrid w:val="0"/>
              <w:spacing w:line="360" w:lineRule="auto"/>
              <w:rPr>
                <w:rFonts w:ascii="黑体" w:hAnsi="黑体" w:eastAsia="黑体"/>
                <w:spacing w:val="-4"/>
                <w:szCs w:val="21"/>
              </w:rPr>
            </w:pPr>
            <w:r>
              <w:rPr>
                <w:rFonts w:hint="eastAsia" w:ascii="黑体" w:hAnsi="黑体" w:eastAsia="黑体"/>
                <w:szCs w:val="21"/>
              </w:rPr>
              <w:t>工程资料：</w:t>
            </w:r>
          </w:p>
          <w:p w14:paraId="5B89FADE">
            <w:pPr>
              <w:pStyle w:val="6"/>
              <w:snapToGrid w:val="0"/>
              <w:spacing w:line="360" w:lineRule="auto"/>
              <w:ind w:firstLine="0" w:firstLineChars="0"/>
              <w:rPr>
                <w:rFonts w:ascii="宋体" w:hAnsi="宋体"/>
                <w:spacing w:val="-4"/>
                <w:szCs w:val="21"/>
              </w:rPr>
            </w:pPr>
            <w:r>
              <w:rPr>
                <w:rFonts w:hint="eastAsia" w:ascii="宋体" w:hAnsi="宋体"/>
                <w:spacing w:val="-4"/>
                <w:szCs w:val="21"/>
              </w:rPr>
              <w:t>1.装饰装修部分按照公共建筑装饰类（公共建筑装饰工程）执行；</w:t>
            </w:r>
          </w:p>
          <w:p w14:paraId="05EBB517">
            <w:pPr>
              <w:snapToGrid w:val="0"/>
              <w:spacing w:line="360" w:lineRule="auto"/>
              <w:rPr>
                <w:rFonts w:ascii="宋体" w:hAnsi="宋体"/>
                <w:spacing w:val="-4"/>
                <w:szCs w:val="21"/>
              </w:rPr>
            </w:pPr>
            <w:r>
              <w:rPr>
                <w:rFonts w:hint="eastAsia" w:ascii="宋体" w:hAnsi="宋体"/>
                <w:spacing w:val="-4"/>
                <w:szCs w:val="21"/>
              </w:rPr>
              <w:t>2</w:t>
            </w:r>
            <w:r>
              <w:rPr>
                <w:rFonts w:ascii="宋体" w:hAnsi="宋体"/>
                <w:spacing w:val="-4"/>
                <w:szCs w:val="21"/>
              </w:rPr>
              <w:t>.</w:t>
            </w:r>
            <w:r>
              <w:rPr>
                <w:rFonts w:hint="eastAsia" w:ascii="宋体" w:hAnsi="宋体"/>
                <w:spacing w:val="-4"/>
                <w:szCs w:val="21"/>
              </w:rPr>
              <w:t>文本资料(展陈大纲等），（无文本资料或内容问题较大扣1</w:t>
            </w:r>
            <w:r>
              <w:rPr>
                <w:rFonts w:ascii="宋体" w:hAnsi="宋体"/>
                <w:spacing w:val="-4"/>
                <w:szCs w:val="21"/>
              </w:rPr>
              <w:t>0</w:t>
            </w:r>
            <w:r>
              <w:rPr>
                <w:rFonts w:hint="eastAsia" w:ascii="宋体" w:hAnsi="宋体"/>
                <w:spacing w:val="-4"/>
                <w:szCs w:val="21"/>
              </w:rPr>
              <w:t>-1</w:t>
            </w:r>
            <w:r>
              <w:rPr>
                <w:rFonts w:ascii="宋体" w:hAnsi="宋体"/>
                <w:spacing w:val="-4"/>
                <w:szCs w:val="21"/>
              </w:rPr>
              <w:t>5</w:t>
            </w:r>
            <w:r>
              <w:rPr>
                <w:rFonts w:hint="eastAsia" w:ascii="宋体" w:hAnsi="宋体"/>
                <w:spacing w:val="-4"/>
                <w:szCs w:val="21"/>
              </w:rPr>
              <w:t>分）。</w:t>
            </w:r>
          </w:p>
          <w:p w14:paraId="43B9C8A5">
            <w:pPr>
              <w:snapToGrid w:val="0"/>
              <w:spacing w:line="360" w:lineRule="auto"/>
              <w:rPr>
                <w:rFonts w:ascii="宋体" w:hAnsi="宋体"/>
                <w:spacing w:val="-4"/>
                <w:szCs w:val="21"/>
              </w:rPr>
            </w:pPr>
            <w:r>
              <w:rPr>
                <w:rFonts w:hint="eastAsia" w:ascii="宋体" w:hAnsi="宋体"/>
                <w:spacing w:val="-4"/>
                <w:szCs w:val="21"/>
              </w:rPr>
              <w:t>3</w:t>
            </w:r>
            <w:r>
              <w:rPr>
                <w:rFonts w:ascii="宋体" w:hAnsi="宋体"/>
                <w:spacing w:val="-4"/>
                <w:szCs w:val="21"/>
              </w:rPr>
              <w:t>.</w:t>
            </w:r>
            <w:r>
              <w:rPr>
                <w:rFonts w:hint="eastAsia" w:ascii="宋体" w:hAnsi="宋体"/>
                <w:spacing w:val="-4"/>
                <w:szCs w:val="21"/>
              </w:rPr>
              <w:t>动线资料：疏散动线明确（符合国家颁布的紧急避险等标准）；参观动线（V</w:t>
            </w:r>
            <w:r>
              <w:rPr>
                <w:rFonts w:ascii="宋体" w:hAnsi="宋体"/>
                <w:spacing w:val="-4"/>
                <w:szCs w:val="21"/>
              </w:rPr>
              <w:t>IP</w:t>
            </w:r>
            <w:r>
              <w:rPr>
                <w:rFonts w:hint="eastAsia" w:ascii="宋体" w:hAnsi="宋体"/>
                <w:spacing w:val="-4"/>
                <w:szCs w:val="21"/>
              </w:rPr>
              <w:t>、普通观众、残疾人）明确，并与图纸一致。</w:t>
            </w:r>
          </w:p>
          <w:p w14:paraId="2C259515">
            <w:pPr>
              <w:snapToGrid w:val="0"/>
              <w:spacing w:line="360" w:lineRule="auto"/>
              <w:rPr>
                <w:rFonts w:ascii="宋体" w:hAnsi="宋体"/>
                <w:spacing w:val="-4"/>
                <w:szCs w:val="21"/>
              </w:rPr>
            </w:pPr>
            <w:r>
              <w:rPr>
                <w:rFonts w:hint="eastAsia" w:ascii="宋体" w:hAnsi="宋体"/>
                <w:spacing w:val="-4"/>
                <w:szCs w:val="21"/>
              </w:rPr>
              <w:t>4</w:t>
            </w:r>
            <w:r>
              <w:rPr>
                <w:rFonts w:ascii="宋体" w:hAnsi="宋体"/>
                <w:spacing w:val="-4"/>
                <w:szCs w:val="21"/>
              </w:rPr>
              <w:t>.</w:t>
            </w:r>
            <w:r>
              <w:rPr>
                <w:rFonts w:hint="eastAsia" w:ascii="宋体" w:hAnsi="宋体"/>
                <w:spacing w:val="-4"/>
                <w:szCs w:val="21"/>
              </w:rPr>
              <w:t>配色系统：所有施工现场与原方案（深化设计方案）标注色样一致。</w:t>
            </w:r>
          </w:p>
          <w:p w14:paraId="77BB0249">
            <w:pPr>
              <w:snapToGrid w:val="0"/>
              <w:spacing w:line="360" w:lineRule="auto"/>
              <w:rPr>
                <w:rFonts w:ascii="宋体" w:hAnsi="宋体"/>
                <w:spacing w:val="-4"/>
                <w:szCs w:val="21"/>
              </w:rPr>
            </w:pPr>
            <w:r>
              <w:rPr>
                <w:rFonts w:hint="eastAsia" w:ascii="宋体" w:hAnsi="宋体"/>
                <w:spacing w:val="-4"/>
                <w:szCs w:val="21"/>
              </w:rPr>
              <w:t>5</w:t>
            </w:r>
            <w:r>
              <w:rPr>
                <w:rFonts w:ascii="宋体" w:hAnsi="宋体"/>
                <w:spacing w:val="-4"/>
                <w:szCs w:val="21"/>
              </w:rPr>
              <w:t>.</w:t>
            </w:r>
            <w:r>
              <w:rPr>
                <w:rFonts w:hint="eastAsia" w:ascii="宋体" w:hAnsi="宋体"/>
                <w:spacing w:val="-4"/>
                <w:szCs w:val="21"/>
              </w:rPr>
              <w:t>灯光照明：现场测光（环境光源、展品照明光源）与原设计方案（深化设计方案）一致。</w:t>
            </w:r>
          </w:p>
          <w:p w14:paraId="7EDADF4E">
            <w:pPr>
              <w:snapToGrid w:val="0"/>
              <w:spacing w:line="360" w:lineRule="auto"/>
              <w:rPr>
                <w:rFonts w:ascii="宋体" w:hAnsi="宋体"/>
                <w:spacing w:val="-4"/>
                <w:szCs w:val="21"/>
              </w:rPr>
            </w:pPr>
            <w:r>
              <w:rPr>
                <w:rFonts w:hint="eastAsia" w:ascii="宋体" w:hAnsi="宋体"/>
                <w:spacing w:val="-4"/>
                <w:szCs w:val="21"/>
              </w:rPr>
              <w:t>6</w:t>
            </w:r>
            <w:r>
              <w:rPr>
                <w:rFonts w:ascii="宋体" w:hAnsi="宋体"/>
                <w:spacing w:val="-4"/>
                <w:szCs w:val="21"/>
              </w:rPr>
              <w:t>.</w:t>
            </w:r>
            <w:r>
              <w:rPr>
                <w:rFonts w:hint="eastAsia" w:ascii="宋体" w:hAnsi="宋体"/>
                <w:spacing w:val="-4"/>
                <w:szCs w:val="21"/>
              </w:rPr>
              <w:t>导览导视系统：重要空间节点指向明确，与图纸表述一致。</w:t>
            </w:r>
          </w:p>
          <w:p w14:paraId="448A4360">
            <w:pPr>
              <w:snapToGrid w:val="0"/>
              <w:spacing w:line="360" w:lineRule="auto"/>
              <w:rPr>
                <w:rFonts w:ascii="宋体" w:hAnsi="宋体"/>
                <w:spacing w:val="-4"/>
                <w:szCs w:val="21"/>
              </w:rPr>
            </w:pPr>
            <w:r>
              <w:rPr>
                <w:rFonts w:hint="eastAsia" w:ascii="宋体" w:hAnsi="宋体"/>
                <w:spacing w:val="-4"/>
                <w:szCs w:val="21"/>
              </w:rPr>
              <w:t>7</w:t>
            </w:r>
            <w:r>
              <w:rPr>
                <w:rFonts w:ascii="宋体" w:hAnsi="宋体"/>
                <w:spacing w:val="-4"/>
                <w:szCs w:val="21"/>
              </w:rPr>
              <w:t>.</w:t>
            </w:r>
            <w:r>
              <w:rPr>
                <w:rFonts w:hint="eastAsia" w:ascii="宋体" w:hAnsi="宋体"/>
                <w:spacing w:val="-4"/>
                <w:szCs w:val="21"/>
              </w:rPr>
              <w:t>线上内容延展：确保数字终端浏览顺畅。</w:t>
            </w:r>
          </w:p>
          <w:p w14:paraId="34C03DD8">
            <w:pPr>
              <w:snapToGrid w:val="0"/>
              <w:spacing w:line="360" w:lineRule="auto"/>
              <w:rPr>
                <w:rFonts w:ascii="宋体" w:hAnsi="宋体"/>
                <w:spacing w:val="-4"/>
                <w:szCs w:val="21"/>
              </w:rPr>
            </w:pPr>
            <w:r>
              <w:rPr>
                <w:rFonts w:hint="eastAsia" w:ascii="宋体" w:hAnsi="宋体"/>
                <w:spacing w:val="-4"/>
                <w:szCs w:val="21"/>
              </w:rPr>
              <w:t>8.有展区布展图，主要展项及相关内容的制作安装图。</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322AFA4C">
            <w:pPr>
              <w:pStyle w:val="6"/>
              <w:snapToGrid w:val="0"/>
              <w:spacing w:line="360" w:lineRule="auto"/>
              <w:ind w:firstLine="0" w:firstLineChars="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装饰装修部分扣分项按公共建筑装饰类执行；</w:t>
            </w:r>
          </w:p>
          <w:p w14:paraId="50169E3F">
            <w:pPr>
              <w:pStyle w:val="6"/>
              <w:snapToGrid w:val="0"/>
              <w:spacing w:line="360" w:lineRule="auto"/>
              <w:ind w:firstLine="0" w:firstLineChars="0"/>
              <w:rPr>
                <w:rFonts w:ascii="宋体" w:hAnsi="宋体"/>
                <w:szCs w:val="21"/>
              </w:rPr>
            </w:pPr>
            <w:r>
              <w:rPr>
                <w:rFonts w:hint="eastAsia" w:ascii="宋体" w:hAnsi="宋体"/>
                <w:szCs w:val="21"/>
              </w:rPr>
              <w:t>2.展陈部分无文本资料或文本资料内容问题较大的扣1</w:t>
            </w:r>
            <w:r>
              <w:rPr>
                <w:rFonts w:ascii="宋体" w:hAnsi="宋体"/>
                <w:szCs w:val="21"/>
              </w:rPr>
              <w:t>0</w:t>
            </w:r>
            <w:r>
              <w:rPr>
                <w:rFonts w:hint="eastAsia" w:ascii="宋体" w:hAnsi="宋体"/>
                <w:szCs w:val="21"/>
              </w:rPr>
              <w:t>-1</w:t>
            </w:r>
            <w:r>
              <w:rPr>
                <w:rFonts w:ascii="宋体" w:hAnsi="宋体"/>
                <w:szCs w:val="21"/>
              </w:rPr>
              <w:t>5</w:t>
            </w:r>
            <w:r>
              <w:rPr>
                <w:rFonts w:hint="eastAsia" w:ascii="宋体" w:hAnsi="宋体"/>
                <w:szCs w:val="21"/>
              </w:rPr>
              <w:t>分；</w:t>
            </w:r>
          </w:p>
          <w:p w14:paraId="3300D510">
            <w:pPr>
              <w:pStyle w:val="6"/>
              <w:snapToGrid w:val="0"/>
              <w:spacing w:line="360" w:lineRule="auto"/>
              <w:ind w:firstLine="0" w:firstLineChars="0"/>
              <w:rPr>
                <w:rFonts w:ascii="宋体" w:hAnsi="宋体"/>
                <w:szCs w:val="21"/>
              </w:rPr>
            </w:pPr>
            <w:r>
              <w:rPr>
                <w:rFonts w:hint="eastAsia" w:ascii="宋体" w:hAnsi="宋体"/>
                <w:szCs w:val="21"/>
              </w:rPr>
              <w:t>3.其他部分不符合项每项扣1-</w:t>
            </w:r>
            <w:r>
              <w:rPr>
                <w:rFonts w:ascii="宋体" w:hAnsi="宋体"/>
                <w:szCs w:val="21"/>
              </w:rPr>
              <w:t>3</w:t>
            </w:r>
            <w:r>
              <w:rPr>
                <w:rFonts w:hint="eastAsia" w:ascii="宋体" w:hAnsi="宋体"/>
                <w:szCs w:val="21"/>
              </w:rPr>
              <w:t>分。</w:t>
            </w:r>
          </w:p>
        </w:tc>
        <w:tc>
          <w:tcPr>
            <w:tcW w:w="1701" w:type="dxa"/>
            <w:tcBorders>
              <w:left w:val="single" w:color="auto" w:sz="4" w:space="0"/>
              <w:right w:val="single" w:color="auto" w:sz="4" w:space="0"/>
            </w:tcBorders>
            <w:noWrap w:val="0"/>
            <w:vAlign w:val="center"/>
          </w:tcPr>
          <w:p w14:paraId="62932F6B">
            <w:pPr>
              <w:adjustRightInd w:val="0"/>
              <w:snapToGrid w:val="0"/>
              <w:spacing w:line="324" w:lineRule="auto"/>
              <w:rPr>
                <w:kern w:val="1"/>
                <w:szCs w:val="21"/>
              </w:rPr>
            </w:pPr>
            <w:r>
              <w:rPr>
                <w:rFonts w:hint="eastAsia"/>
                <w:kern w:val="1"/>
                <w:szCs w:val="21"/>
              </w:rPr>
              <w:t>1</w:t>
            </w:r>
            <w:r>
              <w:rPr>
                <w:kern w:val="1"/>
                <w:szCs w:val="21"/>
              </w:rPr>
              <w:t>.</w:t>
            </w:r>
            <w:r>
              <w:rPr>
                <w:rFonts w:hint="eastAsia"/>
                <w:kern w:val="1"/>
                <w:szCs w:val="21"/>
              </w:rPr>
              <w:t>涉及</w:t>
            </w:r>
            <w:r>
              <w:rPr>
                <w:kern w:val="1"/>
                <w:szCs w:val="21"/>
              </w:rPr>
              <w:t>主体</w:t>
            </w:r>
            <w:r>
              <w:rPr>
                <w:rFonts w:hint="eastAsia"/>
                <w:kern w:val="1"/>
                <w:szCs w:val="21"/>
              </w:rPr>
              <w:t>和</w:t>
            </w:r>
            <w:r>
              <w:rPr>
                <w:kern w:val="1"/>
                <w:szCs w:val="21"/>
              </w:rPr>
              <w:t>承重结构</w:t>
            </w:r>
            <w:r>
              <w:rPr>
                <w:rFonts w:hint="eastAsia"/>
                <w:kern w:val="1"/>
                <w:szCs w:val="21"/>
              </w:rPr>
              <w:t>改动或</w:t>
            </w:r>
            <w:r>
              <w:rPr>
                <w:kern w:val="1"/>
                <w:szCs w:val="21"/>
              </w:rPr>
              <w:t>增加荷载</w:t>
            </w:r>
            <w:r>
              <w:rPr>
                <w:rFonts w:hint="eastAsia"/>
                <w:kern w:val="1"/>
                <w:szCs w:val="21"/>
              </w:rPr>
              <w:t>时</w:t>
            </w:r>
            <w:r>
              <w:rPr>
                <w:kern w:val="1"/>
                <w:szCs w:val="21"/>
              </w:rPr>
              <w:t>，必须</w:t>
            </w:r>
            <w:r>
              <w:rPr>
                <w:rFonts w:hint="eastAsia"/>
                <w:kern w:val="1"/>
                <w:szCs w:val="21"/>
              </w:rPr>
              <w:t>经原结构</w:t>
            </w:r>
            <w:r>
              <w:rPr>
                <w:kern w:val="1"/>
                <w:szCs w:val="21"/>
              </w:rPr>
              <w:t>设计</w:t>
            </w:r>
            <w:r>
              <w:rPr>
                <w:rFonts w:hint="eastAsia"/>
                <w:kern w:val="1"/>
                <w:szCs w:val="21"/>
              </w:rPr>
              <w:t>单位或具备相应资质设计</w:t>
            </w:r>
            <w:r>
              <w:rPr>
                <w:kern w:val="1"/>
                <w:szCs w:val="21"/>
              </w:rPr>
              <w:t>单位的认可文件。</w:t>
            </w:r>
            <w:r>
              <w:rPr>
                <w:rFonts w:hint="eastAsia"/>
                <w:kern w:val="1"/>
                <w:szCs w:val="21"/>
              </w:rPr>
              <w:t>（需审查原件）</w:t>
            </w:r>
          </w:p>
          <w:p w14:paraId="17ADD9DD">
            <w:pPr>
              <w:adjustRightInd w:val="0"/>
              <w:snapToGrid w:val="0"/>
              <w:spacing w:line="324" w:lineRule="auto"/>
              <w:rPr>
                <w:kern w:val="1"/>
                <w:szCs w:val="21"/>
              </w:rPr>
            </w:pPr>
            <w:r>
              <w:rPr>
                <w:rFonts w:hint="eastAsia"/>
                <w:kern w:val="1"/>
                <w:szCs w:val="21"/>
              </w:rPr>
              <w:t>1.大型吊挂物安装须有过载试验和相关隐蔽资料、构架安装节点图；</w:t>
            </w:r>
          </w:p>
          <w:p w14:paraId="609885E4">
            <w:pPr>
              <w:adjustRightInd w:val="0"/>
              <w:snapToGrid w:val="0"/>
              <w:spacing w:line="324" w:lineRule="auto"/>
              <w:rPr>
                <w:kern w:val="1"/>
                <w:szCs w:val="21"/>
              </w:rPr>
            </w:pPr>
            <w:r>
              <w:rPr>
                <w:rFonts w:hint="eastAsia"/>
                <w:kern w:val="1"/>
                <w:szCs w:val="21"/>
              </w:rPr>
              <w:t>2</w:t>
            </w:r>
            <w:r>
              <w:rPr>
                <w:kern w:val="1"/>
                <w:szCs w:val="21"/>
              </w:rPr>
              <w:t>.</w:t>
            </w:r>
            <w:r>
              <w:rPr>
                <w:rFonts w:hint="eastAsia"/>
                <w:kern w:val="1"/>
                <w:szCs w:val="21"/>
              </w:rPr>
              <w:t>主要动线应遵循不交叉、不回头、不重复原则。</w:t>
            </w:r>
          </w:p>
        </w:tc>
        <w:tc>
          <w:tcPr>
            <w:tcW w:w="851" w:type="dxa"/>
            <w:vMerge w:val="continue"/>
            <w:tcBorders>
              <w:left w:val="single" w:color="auto" w:sz="4" w:space="0"/>
              <w:right w:val="single" w:color="auto" w:sz="4" w:space="0"/>
            </w:tcBorders>
            <w:noWrap w:val="0"/>
            <w:vAlign w:val="center"/>
          </w:tcPr>
          <w:p w14:paraId="04A315D7">
            <w:pPr>
              <w:snapToGrid w:val="0"/>
              <w:spacing w:line="288" w:lineRule="auto"/>
              <w:jc w:val="center"/>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5617102">
            <w:pPr>
              <w:snapToGrid w:val="0"/>
              <w:spacing w:line="276" w:lineRule="auto"/>
              <w:rPr>
                <w:rFonts w:ascii="宋体" w:hAnsi="宋体"/>
                <w:szCs w:val="21"/>
              </w:rPr>
            </w:pPr>
            <w:r>
              <w:rPr>
                <w:rFonts w:hint="eastAsia" w:ascii="宋体" w:hAnsi="宋体"/>
                <w:szCs w:val="21"/>
              </w:rPr>
              <w:t>结合工程实体查相关资料</w:t>
            </w:r>
          </w:p>
        </w:tc>
      </w:tr>
      <w:tr w14:paraId="31F0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67" w:type="dxa"/>
            <w:tcBorders>
              <w:left w:val="single" w:color="auto" w:sz="4" w:space="0"/>
              <w:right w:val="single" w:color="auto" w:sz="4" w:space="0"/>
            </w:tcBorders>
            <w:noWrap w:val="0"/>
            <w:vAlign w:val="center"/>
          </w:tcPr>
          <w:p w14:paraId="6DA7B05B">
            <w:pPr>
              <w:snapToGrid w:val="0"/>
              <w:spacing w:line="288" w:lineRule="auto"/>
              <w:jc w:val="center"/>
              <w:rPr>
                <w:rFonts w:ascii="宋体" w:hAnsi="宋体"/>
                <w:szCs w:val="21"/>
              </w:rPr>
            </w:pPr>
            <w:r>
              <w:rPr>
                <w:rFonts w:hint="eastAsia" w:ascii="宋体" w:hAnsi="宋体"/>
                <w:szCs w:val="21"/>
              </w:rPr>
              <w:t>2</w:t>
            </w:r>
          </w:p>
        </w:tc>
        <w:tc>
          <w:tcPr>
            <w:tcW w:w="1277" w:type="dxa"/>
            <w:tcBorders>
              <w:left w:val="single" w:color="auto" w:sz="4" w:space="0"/>
              <w:right w:val="single" w:color="auto" w:sz="4" w:space="0"/>
            </w:tcBorders>
            <w:noWrap w:val="0"/>
            <w:vAlign w:val="center"/>
          </w:tcPr>
          <w:p w14:paraId="144D57EF">
            <w:pPr>
              <w:snapToGrid w:val="0"/>
              <w:spacing w:line="240" w:lineRule="exact"/>
              <w:jc w:val="center"/>
              <w:rPr>
                <w:rFonts w:ascii="宋体" w:hAnsi="宋体"/>
                <w:szCs w:val="21"/>
              </w:rPr>
            </w:pPr>
            <w:r>
              <w:rPr>
                <w:rFonts w:ascii="宋体" w:hAnsi="宋体"/>
                <w:szCs w:val="21"/>
              </w:rPr>
              <w:t>工程实体</w:t>
            </w:r>
          </w:p>
        </w:tc>
        <w:tc>
          <w:tcPr>
            <w:tcW w:w="4961" w:type="dxa"/>
            <w:tcBorders>
              <w:top w:val="single" w:color="auto" w:sz="4" w:space="0"/>
              <w:left w:val="single" w:color="auto" w:sz="4" w:space="0"/>
              <w:bottom w:val="single" w:color="auto" w:sz="4" w:space="0"/>
              <w:right w:val="single" w:color="auto" w:sz="4" w:space="0"/>
            </w:tcBorders>
            <w:noWrap w:val="0"/>
            <w:vAlign w:val="center"/>
          </w:tcPr>
          <w:p w14:paraId="7846FA38">
            <w:pPr>
              <w:pStyle w:val="6"/>
              <w:snapToGrid w:val="0"/>
              <w:spacing w:line="360" w:lineRule="auto"/>
              <w:ind w:firstLine="0" w:firstLineChars="0"/>
              <w:rPr>
                <w:szCs w:val="21"/>
              </w:rPr>
            </w:pPr>
            <w:r>
              <w:rPr>
                <w:rFonts w:hint="eastAsia"/>
                <w:szCs w:val="21"/>
              </w:rPr>
              <w:t>1</w:t>
            </w:r>
            <w:r>
              <w:rPr>
                <w:szCs w:val="21"/>
              </w:rPr>
              <w:t>.</w:t>
            </w:r>
            <w:r>
              <w:rPr>
                <w:rFonts w:hint="eastAsia"/>
                <w:szCs w:val="21"/>
              </w:rPr>
              <w:t>装饰装修部分复查按照公共建筑装饰类（公共建筑装饰工程）执行；</w:t>
            </w:r>
          </w:p>
          <w:p w14:paraId="305F9685">
            <w:pPr>
              <w:snapToGrid w:val="0"/>
              <w:spacing w:line="360" w:lineRule="auto"/>
              <w:rPr>
                <w:szCs w:val="21"/>
              </w:rPr>
            </w:pPr>
            <w:r>
              <w:rPr>
                <w:rFonts w:hint="eastAsia"/>
                <w:szCs w:val="21"/>
              </w:rPr>
              <w:t>2</w:t>
            </w:r>
            <w:r>
              <w:rPr>
                <w:szCs w:val="21"/>
              </w:rPr>
              <w:t>.</w:t>
            </w:r>
            <w:r>
              <w:rPr>
                <w:rFonts w:hint="eastAsia"/>
                <w:szCs w:val="21"/>
              </w:rPr>
              <w:t>展柜和壁龛应安装牢固，符合设计要求；</w:t>
            </w:r>
          </w:p>
          <w:p w14:paraId="2ECDC9D7">
            <w:pPr>
              <w:snapToGrid w:val="0"/>
              <w:spacing w:line="360" w:lineRule="auto"/>
              <w:rPr>
                <w:szCs w:val="21"/>
              </w:rPr>
            </w:pPr>
            <w:r>
              <w:rPr>
                <w:rFonts w:hint="eastAsia"/>
                <w:szCs w:val="21"/>
              </w:rPr>
              <w:t>3</w:t>
            </w:r>
            <w:r>
              <w:rPr>
                <w:szCs w:val="21"/>
              </w:rPr>
              <w:t>.</w:t>
            </w:r>
            <w:r>
              <w:rPr>
                <w:rFonts w:hint="eastAsia"/>
                <w:szCs w:val="21"/>
              </w:rPr>
              <w:t>文物展柜恒温恒湿设备运行良好，符合设计要求；</w:t>
            </w:r>
          </w:p>
          <w:p w14:paraId="562334A9">
            <w:pPr>
              <w:snapToGrid w:val="0"/>
              <w:spacing w:line="360" w:lineRule="auto"/>
              <w:rPr>
                <w:szCs w:val="21"/>
              </w:rPr>
            </w:pPr>
            <w:r>
              <w:rPr>
                <w:rFonts w:hint="eastAsia"/>
                <w:szCs w:val="21"/>
              </w:rPr>
              <w:t>4</w:t>
            </w:r>
            <w:r>
              <w:rPr>
                <w:szCs w:val="21"/>
              </w:rPr>
              <w:t>.</w:t>
            </w:r>
            <w:r>
              <w:rPr>
                <w:rFonts w:hint="eastAsia"/>
                <w:szCs w:val="21"/>
              </w:rPr>
              <w:t>文物展柜密封性良好，符合设计要求；</w:t>
            </w:r>
          </w:p>
          <w:p w14:paraId="574B4D76">
            <w:pPr>
              <w:snapToGrid w:val="0"/>
              <w:spacing w:line="360" w:lineRule="auto"/>
              <w:rPr>
                <w:szCs w:val="21"/>
              </w:rPr>
            </w:pPr>
            <w:r>
              <w:rPr>
                <w:rFonts w:hint="eastAsia"/>
                <w:szCs w:val="21"/>
              </w:rPr>
              <w:t>5</w:t>
            </w:r>
            <w:r>
              <w:rPr>
                <w:szCs w:val="21"/>
              </w:rPr>
              <w:t>.</w:t>
            </w:r>
            <w:r>
              <w:rPr>
                <w:rFonts w:hint="eastAsia"/>
                <w:szCs w:val="21"/>
              </w:rPr>
              <w:t>展柜和壁龛表面平整、洁净、接缝应严密吻合、色泽一致，不得有裂痕、歪斜、划痕、翘曲及损坏；</w:t>
            </w:r>
          </w:p>
          <w:p w14:paraId="230B78EC">
            <w:pPr>
              <w:snapToGrid w:val="0"/>
              <w:spacing w:line="360" w:lineRule="auto"/>
              <w:rPr>
                <w:szCs w:val="21"/>
              </w:rPr>
            </w:pPr>
            <w:r>
              <w:rPr>
                <w:rFonts w:hint="eastAsia"/>
                <w:szCs w:val="21"/>
              </w:rPr>
              <w:t>6</w:t>
            </w:r>
            <w:r>
              <w:rPr>
                <w:szCs w:val="21"/>
              </w:rPr>
              <w:t>.</w:t>
            </w:r>
            <w:r>
              <w:rPr>
                <w:rFonts w:hint="eastAsia"/>
                <w:szCs w:val="21"/>
              </w:rPr>
              <w:t>展台表面应洁净、光滑，边缘平直整齐，不得有尖角、毛刺等锋利易划伤现象；</w:t>
            </w:r>
          </w:p>
          <w:p w14:paraId="60D5402F">
            <w:pPr>
              <w:snapToGrid w:val="0"/>
              <w:spacing w:line="360" w:lineRule="auto"/>
              <w:rPr>
                <w:szCs w:val="21"/>
              </w:rPr>
            </w:pPr>
            <w:r>
              <w:rPr>
                <w:rFonts w:hint="eastAsia"/>
                <w:szCs w:val="21"/>
              </w:rPr>
              <w:t>7</w:t>
            </w:r>
            <w:r>
              <w:rPr>
                <w:szCs w:val="21"/>
              </w:rPr>
              <w:t>.</w:t>
            </w:r>
            <w:r>
              <w:rPr>
                <w:rFonts w:hint="eastAsia"/>
                <w:szCs w:val="21"/>
              </w:rPr>
              <w:t>五金设备应安装牢固，无晃动摇摆；</w:t>
            </w:r>
          </w:p>
          <w:p w14:paraId="08814B69">
            <w:pPr>
              <w:snapToGrid w:val="0"/>
              <w:spacing w:line="360" w:lineRule="auto"/>
              <w:rPr>
                <w:szCs w:val="21"/>
              </w:rPr>
            </w:pPr>
            <w:r>
              <w:rPr>
                <w:rFonts w:hint="eastAsia"/>
                <w:szCs w:val="21"/>
              </w:rPr>
              <w:t>8</w:t>
            </w:r>
            <w:r>
              <w:rPr>
                <w:szCs w:val="21"/>
              </w:rPr>
              <w:t>.</w:t>
            </w:r>
            <w:r>
              <w:rPr>
                <w:rFonts w:hint="eastAsia"/>
                <w:szCs w:val="21"/>
              </w:rPr>
              <w:t>展品说明牌、展架、展托、卡具、容器等符合设计要求，安装牢固，表面光滑、边缘平直整齐，无毛刺，不得有歪斜和翘曲；</w:t>
            </w:r>
          </w:p>
          <w:p w14:paraId="32EE3C2B">
            <w:pPr>
              <w:snapToGrid w:val="0"/>
              <w:spacing w:line="360" w:lineRule="auto"/>
              <w:rPr>
                <w:szCs w:val="21"/>
              </w:rPr>
            </w:pPr>
            <w:r>
              <w:rPr>
                <w:rFonts w:hint="eastAsia"/>
                <w:szCs w:val="21"/>
              </w:rPr>
              <w:t>9</w:t>
            </w:r>
            <w:r>
              <w:rPr>
                <w:szCs w:val="21"/>
              </w:rPr>
              <w:t>.</w:t>
            </w:r>
            <w:r>
              <w:rPr>
                <w:rFonts w:hint="eastAsia"/>
                <w:szCs w:val="21"/>
              </w:rPr>
              <w:t>展板、展柜、展台等使用的材料应符合防火设计规范要求（不符合扣3-10分）；</w:t>
            </w:r>
          </w:p>
          <w:p w14:paraId="39A0A7D1">
            <w:pPr>
              <w:snapToGrid w:val="0"/>
              <w:spacing w:line="360" w:lineRule="auto"/>
              <w:rPr>
                <w:szCs w:val="21"/>
              </w:rPr>
            </w:pPr>
            <w:r>
              <w:rPr>
                <w:rFonts w:hint="eastAsia"/>
                <w:szCs w:val="21"/>
              </w:rPr>
              <w:t>1</w:t>
            </w:r>
            <w:r>
              <w:rPr>
                <w:szCs w:val="21"/>
              </w:rPr>
              <w:t>0</w:t>
            </w:r>
            <w:r>
              <w:rPr>
                <w:rFonts w:hint="eastAsia"/>
                <w:szCs w:val="21"/>
              </w:rPr>
              <w:t>．展板及图文粘贴牢固，不得有空鼓、翘边。表面应平整、洁净、色泽一致，不得有波纹、起伏、气泡、裂缝、皱折、斑污、胶痕；</w:t>
            </w:r>
          </w:p>
          <w:p w14:paraId="238D5E84">
            <w:pPr>
              <w:snapToGrid w:val="0"/>
              <w:spacing w:line="360" w:lineRule="auto"/>
              <w:rPr>
                <w:szCs w:val="21"/>
              </w:rPr>
            </w:pPr>
            <w:r>
              <w:rPr>
                <w:rFonts w:hint="eastAsia"/>
                <w:szCs w:val="21"/>
              </w:rPr>
              <w:t>11．场景、模型和沙盘的表面应洁净，接缝应严密吻合，不得有歪斜、翘曲及损坏，安装应牢固；</w:t>
            </w:r>
          </w:p>
          <w:p w14:paraId="46239328">
            <w:pPr>
              <w:snapToGrid w:val="0"/>
              <w:spacing w:line="360" w:lineRule="auto"/>
              <w:rPr>
                <w:szCs w:val="21"/>
              </w:rPr>
            </w:pPr>
            <w:r>
              <w:rPr>
                <w:rFonts w:hint="eastAsia"/>
                <w:szCs w:val="21"/>
              </w:rPr>
              <w:t>1</w:t>
            </w:r>
            <w:r>
              <w:rPr>
                <w:szCs w:val="21"/>
              </w:rPr>
              <w:t>2.</w:t>
            </w:r>
            <w:r>
              <w:rPr>
                <w:rFonts w:hint="eastAsia"/>
                <w:szCs w:val="21"/>
              </w:rPr>
              <w:t>雕塑、绘画所使用的材料应符合设计要求和国家现行有关标准的规定；</w:t>
            </w:r>
          </w:p>
          <w:p w14:paraId="22DF86B5">
            <w:pPr>
              <w:snapToGrid w:val="0"/>
              <w:spacing w:line="360" w:lineRule="auto"/>
              <w:rPr>
                <w:szCs w:val="21"/>
              </w:rPr>
            </w:pPr>
            <w:r>
              <w:rPr>
                <w:rFonts w:hint="eastAsia"/>
                <w:szCs w:val="21"/>
              </w:rPr>
              <w:t>1</w:t>
            </w:r>
            <w:r>
              <w:rPr>
                <w:szCs w:val="21"/>
              </w:rPr>
              <w:t>3</w:t>
            </w:r>
            <w:r>
              <w:rPr>
                <w:rFonts w:hint="eastAsia"/>
                <w:szCs w:val="21"/>
              </w:rPr>
              <w:t>．重型雕塑应安装牢固并符合结构承重要求（不符合扣3-10分）；</w:t>
            </w:r>
          </w:p>
          <w:p w14:paraId="4BA6947A">
            <w:pPr>
              <w:snapToGrid w:val="0"/>
              <w:spacing w:line="360" w:lineRule="auto"/>
              <w:rPr>
                <w:szCs w:val="21"/>
              </w:rPr>
            </w:pPr>
            <w:r>
              <w:rPr>
                <w:rFonts w:hint="eastAsia"/>
                <w:szCs w:val="21"/>
              </w:rPr>
              <w:t>1</w:t>
            </w:r>
            <w:r>
              <w:rPr>
                <w:szCs w:val="21"/>
              </w:rPr>
              <w:t>4.</w:t>
            </w:r>
            <w:r>
              <w:rPr>
                <w:rFonts w:hint="eastAsia"/>
                <w:szCs w:val="21"/>
              </w:rPr>
              <w:t>多媒体设备安装应牢固；</w:t>
            </w:r>
          </w:p>
          <w:p w14:paraId="6D2ED92C">
            <w:pPr>
              <w:snapToGrid w:val="0"/>
              <w:spacing w:line="360" w:lineRule="auto"/>
              <w:rPr>
                <w:szCs w:val="21"/>
              </w:rPr>
            </w:pPr>
            <w:r>
              <w:rPr>
                <w:rFonts w:hint="eastAsia"/>
                <w:szCs w:val="21"/>
              </w:rPr>
              <w:t>1</w:t>
            </w:r>
            <w:r>
              <w:rPr>
                <w:szCs w:val="21"/>
              </w:rPr>
              <w:t>5</w:t>
            </w:r>
            <w:r>
              <w:rPr>
                <w:rFonts w:hint="eastAsia"/>
                <w:szCs w:val="21"/>
              </w:rPr>
              <w:t>．多媒体设备运行正常，各类影片播放正常，无黑屏、坏点等现象；</w:t>
            </w:r>
          </w:p>
          <w:p w14:paraId="43AF4BDC">
            <w:pPr>
              <w:snapToGrid w:val="0"/>
              <w:spacing w:line="360" w:lineRule="auto"/>
              <w:rPr>
                <w:szCs w:val="21"/>
              </w:rPr>
            </w:pPr>
            <w:r>
              <w:rPr>
                <w:rFonts w:hint="eastAsia"/>
                <w:szCs w:val="21"/>
              </w:rPr>
              <w:t>1</w:t>
            </w:r>
            <w:r>
              <w:rPr>
                <w:szCs w:val="21"/>
              </w:rPr>
              <w:t>6.</w:t>
            </w:r>
            <w:r>
              <w:rPr>
                <w:rFonts w:hint="eastAsia"/>
                <w:szCs w:val="21"/>
              </w:rPr>
              <w:t>投影影片融合带无明显色差；</w:t>
            </w:r>
          </w:p>
          <w:p w14:paraId="1B0EB648">
            <w:pPr>
              <w:snapToGrid w:val="0"/>
              <w:spacing w:line="360" w:lineRule="auto"/>
              <w:rPr>
                <w:szCs w:val="21"/>
              </w:rPr>
            </w:pPr>
            <w:r>
              <w:rPr>
                <w:rFonts w:hint="eastAsia"/>
                <w:szCs w:val="21"/>
              </w:rPr>
              <w:t>1</w:t>
            </w:r>
            <w:r>
              <w:rPr>
                <w:szCs w:val="21"/>
              </w:rPr>
              <w:t>7.</w:t>
            </w:r>
            <w:r>
              <w:rPr>
                <w:rFonts w:hint="eastAsia"/>
                <w:szCs w:val="21"/>
              </w:rPr>
              <w:t>互动展项观感质量应符合设计要求，安装牢固，调节灵活，操作方便，表面洁净，拼缝应严密吻合，不得有凸起、凹陷、划痕和损坏；</w:t>
            </w:r>
          </w:p>
          <w:p w14:paraId="7F72D961">
            <w:pPr>
              <w:snapToGrid w:val="0"/>
              <w:spacing w:line="360" w:lineRule="auto"/>
              <w:rPr>
                <w:szCs w:val="21"/>
              </w:rPr>
            </w:pPr>
            <w:r>
              <w:rPr>
                <w:rFonts w:hint="eastAsia"/>
                <w:szCs w:val="21"/>
              </w:rPr>
              <w:t>1</w:t>
            </w:r>
            <w:r>
              <w:rPr>
                <w:szCs w:val="21"/>
              </w:rPr>
              <w:t>8.</w:t>
            </w:r>
            <w:r>
              <w:rPr>
                <w:rFonts w:hint="eastAsia"/>
                <w:szCs w:val="21"/>
              </w:rPr>
              <w:t>弱电机房布线整齐、合理，有清晰标签；</w:t>
            </w:r>
          </w:p>
          <w:p w14:paraId="37585CAB">
            <w:pPr>
              <w:snapToGrid w:val="0"/>
              <w:spacing w:line="360" w:lineRule="auto"/>
              <w:rPr>
                <w:szCs w:val="21"/>
              </w:rPr>
            </w:pPr>
            <w:r>
              <w:rPr>
                <w:rFonts w:hint="eastAsia"/>
                <w:szCs w:val="21"/>
              </w:rPr>
              <w:t>1</w:t>
            </w:r>
            <w:r>
              <w:rPr>
                <w:szCs w:val="21"/>
              </w:rPr>
              <w:t>9.</w:t>
            </w:r>
            <w:r>
              <w:rPr>
                <w:rFonts w:hint="eastAsia"/>
                <w:szCs w:val="21"/>
              </w:rPr>
              <w:t>斜坡地面的坡度应符合设计规范要求，行走安全；</w:t>
            </w:r>
          </w:p>
          <w:p w14:paraId="2E448C05">
            <w:pPr>
              <w:snapToGrid w:val="0"/>
              <w:spacing w:line="360" w:lineRule="auto"/>
              <w:rPr>
                <w:szCs w:val="21"/>
              </w:rPr>
            </w:pPr>
            <w:r>
              <w:rPr>
                <w:rFonts w:hint="eastAsia"/>
                <w:szCs w:val="21"/>
              </w:rPr>
              <w:t>2</w:t>
            </w:r>
            <w:r>
              <w:rPr>
                <w:szCs w:val="21"/>
              </w:rPr>
              <w:t>0.</w:t>
            </w:r>
            <w:r>
              <w:rPr>
                <w:rFonts w:hint="eastAsia"/>
                <w:szCs w:val="21"/>
              </w:rPr>
              <w:t>导览导视系统安装牢固，安装位置符合设计要求；</w:t>
            </w:r>
          </w:p>
          <w:p w14:paraId="48E6DD07">
            <w:pPr>
              <w:snapToGrid w:val="0"/>
              <w:spacing w:line="360" w:lineRule="auto"/>
              <w:rPr>
                <w:szCs w:val="21"/>
              </w:rPr>
            </w:pPr>
            <w:r>
              <w:rPr>
                <w:rFonts w:hint="eastAsia"/>
                <w:szCs w:val="21"/>
              </w:rPr>
              <w:t>2</w:t>
            </w:r>
            <w:r>
              <w:rPr>
                <w:szCs w:val="21"/>
              </w:rPr>
              <w:t>1.</w:t>
            </w:r>
            <w:r>
              <w:rPr>
                <w:rFonts w:hint="eastAsia"/>
                <w:szCs w:val="21"/>
              </w:rPr>
              <w:t>设备、展项、灯光安装牢固，超过10kg的吊挂物应做过载试验（不符合扣3-10分）；</w:t>
            </w:r>
          </w:p>
          <w:p w14:paraId="2455B254">
            <w:pPr>
              <w:snapToGrid w:val="0"/>
              <w:spacing w:line="360" w:lineRule="auto"/>
              <w:rPr>
                <w:szCs w:val="21"/>
              </w:rPr>
            </w:pPr>
            <w:r>
              <w:rPr>
                <w:rFonts w:hint="eastAsia"/>
                <w:szCs w:val="21"/>
              </w:rPr>
              <w:t>2</w:t>
            </w:r>
            <w:r>
              <w:rPr>
                <w:szCs w:val="21"/>
              </w:rPr>
              <w:t>2.</w:t>
            </w:r>
            <w:r>
              <w:rPr>
                <w:rFonts w:hint="eastAsia"/>
                <w:szCs w:val="21"/>
              </w:rPr>
              <w:t>无吊顶展区设备及管线应排布整齐。</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35418669">
            <w:pPr>
              <w:adjustRightInd w:val="0"/>
              <w:snapToGrid w:val="0"/>
              <w:spacing w:line="324" w:lineRule="auto"/>
              <w:rPr>
                <w:kern w:val="1"/>
                <w:szCs w:val="21"/>
              </w:rPr>
            </w:pPr>
            <w:r>
              <w:rPr>
                <w:rFonts w:hint="eastAsia"/>
                <w:kern w:val="1"/>
                <w:szCs w:val="21"/>
              </w:rPr>
              <w:t>1</w:t>
            </w:r>
            <w:r>
              <w:rPr>
                <w:kern w:val="1"/>
                <w:szCs w:val="21"/>
              </w:rPr>
              <w:t>.</w:t>
            </w:r>
            <w:r>
              <w:rPr>
                <w:rFonts w:hint="eastAsia"/>
                <w:kern w:val="1"/>
                <w:szCs w:val="21"/>
              </w:rPr>
              <w:t>装饰装修部分复查按公共建筑装饰类执行；</w:t>
            </w:r>
          </w:p>
          <w:p w14:paraId="4378EDDE">
            <w:pPr>
              <w:adjustRightInd w:val="0"/>
              <w:snapToGrid w:val="0"/>
              <w:spacing w:line="324" w:lineRule="auto"/>
              <w:rPr>
                <w:kern w:val="1"/>
                <w:szCs w:val="21"/>
              </w:rPr>
            </w:pPr>
            <w:r>
              <w:rPr>
                <w:kern w:val="1"/>
                <w:szCs w:val="21"/>
              </w:rPr>
              <w:t>2.</w:t>
            </w:r>
            <w:r>
              <w:rPr>
                <w:rFonts w:hint="eastAsia"/>
                <w:kern w:val="1"/>
                <w:szCs w:val="21"/>
              </w:rPr>
              <w:t>重型雕塑等安装不符合结构承重要求的扣3-10分；</w:t>
            </w:r>
          </w:p>
          <w:p w14:paraId="645ADB30">
            <w:pPr>
              <w:adjustRightInd w:val="0"/>
              <w:snapToGrid w:val="0"/>
              <w:spacing w:line="324" w:lineRule="auto"/>
              <w:rPr>
                <w:kern w:val="1"/>
                <w:szCs w:val="21"/>
              </w:rPr>
            </w:pPr>
            <w:r>
              <w:rPr>
                <w:rFonts w:hint="eastAsia"/>
                <w:kern w:val="1"/>
                <w:szCs w:val="21"/>
              </w:rPr>
              <w:t>3</w:t>
            </w:r>
            <w:r>
              <w:rPr>
                <w:kern w:val="1"/>
                <w:szCs w:val="21"/>
              </w:rPr>
              <w:t>.</w:t>
            </w:r>
            <w:r>
              <w:rPr>
                <w:rFonts w:hint="eastAsia"/>
                <w:kern w:val="1"/>
                <w:szCs w:val="21"/>
              </w:rPr>
              <w:t>展板、展柜、展台等使用的材料不符合防火设计规范要求的扣3-10分；</w:t>
            </w:r>
          </w:p>
          <w:p w14:paraId="57BB68A3">
            <w:pPr>
              <w:adjustRightInd w:val="0"/>
              <w:snapToGrid w:val="0"/>
              <w:spacing w:line="324" w:lineRule="auto"/>
              <w:rPr>
                <w:kern w:val="1"/>
                <w:szCs w:val="21"/>
              </w:rPr>
            </w:pPr>
            <w:r>
              <w:rPr>
                <w:rFonts w:hint="eastAsia"/>
                <w:kern w:val="1"/>
                <w:szCs w:val="21"/>
              </w:rPr>
              <w:t>4</w:t>
            </w:r>
            <w:r>
              <w:rPr>
                <w:kern w:val="1"/>
                <w:szCs w:val="21"/>
              </w:rPr>
              <w:t>.</w:t>
            </w:r>
            <w:r>
              <w:rPr>
                <w:rFonts w:hint="eastAsia"/>
                <w:kern w:val="1"/>
                <w:szCs w:val="21"/>
              </w:rPr>
              <w:t>设备、展项、灯具等超过10kg的吊挂物未做过载试验的扣3-10分；</w:t>
            </w:r>
          </w:p>
          <w:p w14:paraId="3E598573">
            <w:pPr>
              <w:adjustRightInd w:val="0"/>
              <w:snapToGrid w:val="0"/>
              <w:spacing w:line="324" w:lineRule="auto"/>
              <w:rPr>
                <w:kern w:val="1"/>
                <w:szCs w:val="21"/>
              </w:rPr>
            </w:pPr>
            <w:r>
              <w:rPr>
                <w:rFonts w:hint="eastAsia"/>
                <w:kern w:val="1"/>
                <w:szCs w:val="21"/>
              </w:rPr>
              <w:t>5</w:t>
            </w:r>
            <w:r>
              <w:rPr>
                <w:kern w:val="1"/>
                <w:szCs w:val="21"/>
              </w:rPr>
              <w:t>.</w:t>
            </w:r>
            <w:r>
              <w:rPr>
                <w:rFonts w:hint="eastAsia"/>
                <w:kern w:val="1"/>
                <w:szCs w:val="21"/>
              </w:rPr>
              <w:t>文物展柜恒温恒湿设备密封性不符合设计要求扣3-5分。</w:t>
            </w:r>
          </w:p>
          <w:p w14:paraId="175D1663">
            <w:pPr>
              <w:adjustRightInd w:val="0"/>
              <w:snapToGrid w:val="0"/>
              <w:spacing w:line="324" w:lineRule="auto"/>
              <w:rPr>
                <w:kern w:val="1"/>
                <w:szCs w:val="21"/>
              </w:rPr>
            </w:pPr>
            <w:r>
              <w:rPr>
                <w:rFonts w:hint="eastAsia"/>
                <w:kern w:val="1"/>
                <w:szCs w:val="21"/>
              </w:rPr>
              <w:t>6多媒体设备、影片不稳定或有黑屏等现象扣3-5分。</w:t>
            </w:r>
          </w:p>
          <w:p w14:paraId="49CBD202">
            <w:pPr>
              <w:adjustRightInd w:val="0"/>
              <w:snapToGrid w:val="0"/>
              <w:spacing w:line="324" w:lineRule="auto"/>
              <w:rPr>
                <w:kern w:val="1"/>
                <w:szCs w:val="21"/>
              </w:rPr>
            </w:pPr>
            <w:r>
              <w:rPr>
                <w:kern w:val="1"/>
                <w:szCs w:val="21"/>
              </w:rPr>
              <w:t>7.</w:t>
            </w:r>
            <w:r>
              <w:rPr>
                <w:rFonts w:hint="eastAsia"/>
                <w:kern w:val="1"/>
                <w:szCs w:val="21"/>
              </w:rPr>
              <w:t>其他不符合的扣</w:t>
            </w:r>
            <w:r>
              <w:rPr>
                <w:kern w:val="1"/>
                <w:szCs w:val="21"/>
              </w:rPr>
              <w:t>0.5</w:t>
            </w:r>
            <w:r>
              <w:rPr>
                <w:rFonts w:hint="eastAsia"/>
                <w:kern w:val="1"/>
                <w:szCs w:val="21"/>
              </w:rPr>
              <w:t>-</w:t>
            </w:r>
            <w:r>
              <w:rPr>
                <w:kern w:val="1"/>
                <w:szCs w:val="21"/>
              </w:rPr>
              <w:t>2</w:t>
            </w:r>
            <w:r>
              <w:rPr>
                <w:rFonts w:hint="eastAsia"/>
                <w:kern w:val="1"/>
                <w:szCs w:val="21"/>
              </w:rPr>
              <w:t>分。</w:t>
            </w:r>
          </w:p>
        </w:tc>
        <w:tc>
          <w:tcPr>
            <w:tcW w:w="1701" w:type="dxa"/>
            <w:tcBorders>
              <w:left w:val="single" w:color="auto" w:sz="4" w:space="0"/>
              <w:right w:val="single" w:color="auto" w:sz="4" w:space="0"/>
            </w:tcBorders>
            <w:noWrap w:val="0"/>
            <w:vAlign w:val="center"/>
          </w:tcPr>
          <w:p w14:paraId="2CF25E26">
            <w:pPr>
              <w:pStyle w:val="6"/>
              <w:snapToGrid w:val="0"/>
              <w:spacing w:line="288" w:lineRule="auto"/>
              <w:ind w:firstLine="0" w:firstLineChars="0"/>
              <w:jc w:val="left"/>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涉及安装安全的内容为应查项。</w:t>
            </w:r>
          </w:p>
          <w:p w14:paraId="3EBE5683">
            <w:pPr>
              <w:pStyle w:val="6"/>
              <w:snapToGrid w:val="0"/>
              <w:spacing w:line="288" w:lineRule="auto"/>
              <w:ind w:firstLine="0" w:firstLineChars="0"/>
              <w:jc w:val="lef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涉及公共场地、场景安全的内容为应查项。</w:t>
            </w:r>
          </w:p>
          <w:p w14:paraId="2EA0E52C">
            <w:pPr>
              <w:pStyle w:val="6"/>
              <w:snapToGrid w:val="0"/>
              <w:spacing w:line="288" w:lineRule="auto"/>
              <w:ind w:firstLine="0" w:firstLineChars="0"/>
              <w:jc w:val="left"/>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涉及用电、防火安全的内容为应查项。</w:t>
            </w:r>
          </w:p>
        </w:tc>
        <w:tc>
          <w:tcPr>
            <w:tcW w:w="851" w:type="dxa"/>
            <w:tcBorders>
              <w:left w:val="single" w:color="auto" w:sz="4" w:space="0"/>
              <w:right w:val="single" w:color="auto" w:sz="4" w:space="0"/>
            </w:tcBorders>
            <w:noWrap w:val="0"/>
            <w:vAlign w:val="center"/>
          </w:tcPr>
          <w:p w14:paraId="6708B90D">
            <w:pPr>
              <w:snapToGrid w:val="0"/>
              <w:spacing w:line="288" w:lineRule="auto"/>
              <w:jc w:val="center"/>
              <w:rPr>
                <w:rFonts w:ascii="宋体" w:hAnsi="宋体"/>
                <w:szCs w:val="21"/>
              </w:rPr>
            </w:pPr>
            <w:r>
              <w:rPr>
                <w:rFonts w:hint="eastAsia" w:ascii="宋体" w:hAnsi="宋体"/>
                <w:szCs w:val="21"/>
              </w:rPr>
              <w:t>60分</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73201D9">
            <w:pPr>
              <w:snapToGrid w:val="0"/>
              <w:spacing w:line="360" w:lineRule="auto"/>
              <w:rPr>
                <w:rFonts w:ascii="宋体" w:hAnsi="宋体"/>
                <w:szCs w:val="21"/>
              </w:rPr>
            </w:pPr>
            <w:r>
              <w:rPr>
                <w:rFonts w:hint="eastAsia" w:ascii="宋体" w:hAnsi="宋体"/>
                <w:szCs w:val="21"/>
              </w:rPr>
              <w:t>查：工程实体质量，并核对图纸、质量管理与技术资料是否与工程实体相符。</w:t>
            </w:r>
          </w:p>
        </w:tc>
      </w:tr>
      <w:tr w14:paraId="1FBE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567" w:type="dxa"/>
            <w:tcBorders>
              <w:left w:val="single" w:color="auto" w:sz="4" w:space="0"/>
              <w:right w:val="single" w:color="auto" w:sz="4" w:space="0"/>
            </w:tcBorders>
            <w:noWrap w:val="0"/>
            <w:vAlign w:val="center"/>
          </w:tcPr>
          <w:p w14:paraId="6F207607">
            <w:pPr>
              <w:snapToGrid w:val="0"/>
              <w:spacing w:line="288" w:lineRule="auto"/>
              <w:jc w:val="center"/>
              <w:rPr>
                <w:rFonts w:ascii="宋体" w:hAnsi="宋体"/>
                <w:szCs w:val="21"/>
              </w:rPr>
            </w:pPr>
            <w:r>
              <w:rPr>
                <w:rFonts w:hint="eastAsia" w:ascii="宋体" w:hAnsi="宋体"/>
                <w:szCs w:val="21"/>
              </w:rPr>
              <w:t>3</w:t>
            </w:r>
          </w:p>
        </w:tc>
        <w:tc>
          <w:tcPr>
            <w:tcW w:w="1277" w:type="dxa"/>
            <w:tcBorders>
              <w:left w:val="single" w:color="auto" w:sz="4" w:space="0"/>
              <w:right w:val="single" w:color="auto" w:sz="4" w:space="0"/>
            </w:tcBorders>
            <w:noWrap w:val="0"/>
            <w:vAlign w:val="center"/>
          </w:tcPr>
          <w:p w14:paraId="1ECCA045">
            <w:pPr>
              <w:snapToGrid w:val="0"/>
              <w:spacing w:line="240" w:lineRule="exact"/>
              <w:jc w:val="center"/>
              <w:rPr>
                <w:rFonts w:ascii="宋体" w:hAnsi="宋体"/>
                <w:szCs w:val="21"/>
              </w:rPr>
            </w:pPr>
            <w:r>
              <w:rPr>
                <w:rFonts w:ascii="宋体" w:hAnsi="宋体"/>
                <w:szCs w:val="21"/>
              </w:rPr>
              <w:t>氛围呈现</w:t>
            </w:r>
          </w:p>
        </w:tc>
        <w:tc>
          <w:tcPr>
            <w:tcW w:w="4961" w:type="dxa"/>
            <w:tcBorders>
              <w:top w:val="single" w:color="auto" w:sz="4" w:space="0"/>
              <w:left w:val="single" w:color="auto" w:sz="4" w:space="0"/>
              <w:bottom w:val="single" w:color="auto" w:sz="4" w:space="0"/>
              <w:right w:val="single" w:color="auto" w:sz="4" w:space="0"/>
            </w:tcBorders>
            <w:noWrap w:val="0"/>
            <w:vAlign w:val="center"/>
          </w:tcPr>
          <w:p w14:paraId="1F4C9E7F">
            <w:pPr>
              <w:pStyle w:val="6"/>
              <w:snapToGrid w:val="0"/>
              <w:spacing w:line="360" w:lineRule="auto"/>
              <w:ind w:firstLine="0" w:firstLineChars="0"/>
              <w:rPr>
                <w:szCs w:val="21"/>
              </w:rPr>
            </w:pPr>
            <w:r>
              <w:rPr>
                <w:rFonts w:hint="eastAsia"/>
                <w:szCs w:val="21"/>
              </w:rPr>
              <w:t>1</w:t>
            </w:r>
            <w:r>
              <w:rPr>
                <w:szCs w:val="21"/>
              </w:rPr>
              <w:t>.</w:t>
            </w:r>
            <w:r>
              <w:rPr>
                <w:rFonts w:hint="eastAsia"/>
                <w:szCs w:val="21"/>
              </w:rPr>
              <w:t>交互性展项体验感受良好；</w:t>
            </w:r>
          </w:p>
          <w:p w14:paraId="583DB26C">
            <w:pPr>
              <w:pStyle w:val="6"/>
              <w:snapToGrid w:val="0"/>
              <w:spacing w:line="360" w:lineRule="auto"/>
              <w:ind w:firstLine="0" w:firstLineChars="0"/>
              <w:rPr>
                <w:rFonts w:ascii="黑体" w:hAnsi="黑体" w:eastAsia="黑体"/>
                <w:szCs w:val="21"/>
              </w:rPr>
            </w:pPr>
            <w:r>
              <w:rPr>
                <w:rFonts w:hint="eastAsia"/>
                <w:szCs w:val="21"/>
              </w:rPr>
              <w:t>2</w:t>
            </w:r>
            <w:r>
              <w:rPr>
                <w:szCs w:val="21"/>
              </w:rPr>
              <w:t>.</w:t>
            </w:r>
            <w:r>
              <w:rPr>
                <w:rFonts w:hint="eastAsia"/>
                <w:szCs w:val="21"/>
              </w:rPr>
              <w:t>展陈区域整体艺术氛围呈现良好。</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37974873">
            <w:pPr>
              <w:pStyle w:val="6"/>
              <w:snapToGrid w:val="0"/>
              <w:spacing w:line="276" w:lineRule="auto"/>
              <w:ind w:firstLine="0" w:firstLineChars="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交互体验欠佳（扣1-2分）；</w:t>
            </w:r>
          </w:p>
          <w:p w14:paraId="34F53B27">
            <w:pPr>
              <w:pStyle w:val="6"/>
              <w:snapToGrid w:val="0"/>
              <w:spacing w:line="276" w:lineRule="auto"/>
              <w:ind w:firstLine="0" w:firstLineChars="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整体艺术氛围欠佳（扣1-3分）。</w:t>
            </w:r>
          </w:p>
        </w:tc>
        <w:tc>
          <w:tcPr>
            <w:tcW w:w="1701" w:type="dxa"/>
            <w:tcBorders>
              <w:left w:val="single" w:color="auto" w:sz="4" w:space="0"/>
              <w:right w:val="single" w:color="auto" w:sz="4" w:space="0"/>
            </w:tcBorders>
            <w:noWrap w:val="0"/>
            <w:vAlign w:val="center"/>
          </w:tcPr>
          <w:p w14:paraId="338104D5">
            <w:pPr>
              <w:snapToGrid w:val="0"/>
              <w:spacing w:line="288" w:lineRule="auto"/>
              <w:jc w:val="left"/>
              <w:rPr>
                <w:rFonts w:ascii="宋体" w:hAnsi="宋体"/>
                <w:szCs w:val="21"/>
              </w:rPr>
            </w:pPr>
          </w:p>
        </w:tc>
        <w:tc>
          <w:tcPr>
            <w:tcW w:w="851" w:type="dxa"/>
            <w:tcBorders>
              <w:left w:val="single" w:color="auto" w:sz="4" w:space="0"/>
              <w:right w:val="single" w:color="auto" w:sz="4" w:space="0"/>
            </w:tcBorders>
            <w:noWrap w:val="0"/>
            <w:vAlign w:val="center"/>
          </w:tcPr>
          <w:p w14:paraId="2AA939B6">
            <w:pPr>
              <w:snapToGrid w:val="0"/>
              <w:spacing w:line="288" w:lineRule="auto"/>
              <w:jc w:val="center"/>
              <w:rPr>
                <w:rFonts w:ascii="宋体" w:hAnsi="宋体"/>
                <w:szCs w:val="21"/>
              </w:rPr>
            </w:pPr>
            <w:r>
              <w:rPr>
                <w:rFonts w:hint="eastAsia" w:ascii="宋体" w:hAnsi="宋体"/>
                <w:szCs w:val="21"/>
              </w:rPr>
              <w:t>5分</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DE2EF0A">
            <w:pPr>
              <w:snapToGrid w:val="0"/>
              <w:spacing w:line="276" w:lineRule="auto"/>
              <w:rPr>
                <w:rFonts w:ascii="宋体" w:hAnsi="宋体"/>
                <w:szCs w:val="21"/>
              </w:rPr>
            </w:pPr>
          </w:p>
        </w:tc>
      </w:tr>
      <w:tr w14:paraId="02EB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567" w:type="dxa"/>
            <w:tcBorders>
              <w:left w:val="single" w:color="auto" w:sz="4" w:space="0"/>
              <w:right w:val="single" w:color="auto" w:sz="4" w:space="0"/>
            </w:tcBorders>
            <w:noWrap w:val="0"/>
            <w:vAlign w:val="center"/>
          </w:tcPr>
          <w:p w14:paraId="2AD864FD">
            <w:pPr>
              <w:snapToGrid w:val="0"/>
              <w:spacing w:line="288" w:lineRule="auto"/>
              <w:jc w:val="center"/>
              <w:rPr>
                <w:rFonts w:ascii="宋体" w:hAnsi="宋体"/>
                <w:szCs w:val="21"/>
              </w:rPr>
            </w:pPr>
            <w:r>
              <w:rPr>
                <w:rFonts w:hint="eastAsia" w:ascii="宋体" w:hAnsi="宋体"/>
                <w:szCs w:val="21"/>
              </w:rPr>
              <w:t>4</w:t>
            </w:r>
          </w:p>
        </w:tc>
        <w:tc>
          <w:tcPr>
            <w:tcW w:w="1277" w:type="dxa"/>
            <w:tcBorders>
              <w:left w:val="single" w:color="auto" w:sz="4" w:space="0"/>
              <w:right w:val="single" w:color="auto" w:sz="4" w:space="0"/>
            </w:tcBorders>
            <w:noWrap w:val="0"/>
            <w:vAlign w:val="center"/>
          </w:tcPr>
          <w:p w14:paraId="283F80FA">
            <w:pPr>
              <w:snapToGrid w:val="0"/>
              <w:spacing w:line="240" w:lineRule="exact"/>
              <w:jc w:val="center"/>
              <w:rPr>
                <w:rFonts w:ascii="宋体" w:hAnsi="宋体"/>
                <w:szCs w:val="21"/>
              </w:rPr>
            </w:pPr>
            <w:r>
              <w:rPr>
                <w:rFonts w:ascii="宋体" w:hAnsi="宋体"/>
                <w:szCs w:val="21"/>
              </w:rPr>
              <w:t>新技术</w:t>
            </w:r>
          </w:p>
        </w:tc>
        <w:tc>
          <w:tcPr>
            <w:tcW w:w="4961" w:type="dxa"/>
            <w:tcBorders>
              <w:top w:val="single" w:color="auto" w:sz="4" w:space="0"/>
              <w:left w:val="single" w:color="auto" w:sz="4" w:space="0"/>
              <w:bottom w:val="single" w:color="auto" w:sz="4" w:space="0"/>
              <w:right w:val="single" w:color="auto" w:sz="4" w:space="0"/>
            </w:tcBorders>
            <w:noWrap w:val="0"/>
            <w:vAlign w:val="center"/>
          </w:tcPr>
          <w:p w14:paraId="1BF2A93A">
            <w:pPr>
              <w:pStyle w:val="6"/>
              <w:snapToGrid w:val="0"/>
              <w:spacing w:line="360" w:lineRule="auto"/>
              <w:ind w:firstLine="0" w:firstLineChars="0"/>
              <w:rPr>
                <w:szCs w:val="21"/>
              </w:rPr>
            </w:pPr>
            <w:r>
              <w:rPr>
                <w:rFonts w:hint="eastAsia"/>
                <w:szCs w:val="21"/>
              </w:rPr>
              <w:t>1</w:t>
            </w:r>
            <w:r>
              <w:rPr>
                <w:szCs w:val="21"/>
              </w:rPr>
              <w:t>.</w:t>
            </w:r>
            <w:r>
              <w:rPr>
                <w:rFonts w:hint="eastAsia"/>
                <w:szCs w:val="21"/>
              </w:rPr>
              <w:t>创新技术；</w:t>
            </w:r>
          </w:p>
          <w:p w14:paraId="5E242995">
            <w:pPr>
              <w:pStyle w:val="6"/>
              <w:snapToGrid w:val="0"/>
              <w:spacing w:line="360" w:lineRule="auto"/>
              <w:ind w:firstLine="0" w:firstLineChars="0"/>
              <w:rPr>
                <w:szCs w:val="21"/>
              </w:rPr>
            </w:pPr>
            <w:r>
              <w:rPr>
                <w:rFonts w:hint="eastAsia"/>
                <w:szCs w:val="21"/>
              </w:rPr>
              <w:t>2</w:t>
            </w:r>
            <w:r>
              <w:rPr>
                <w:szCs w:val="21"/>
              </w:rPr>
              <w:t>.</w:t>
            </w:r>
            <w:r>
              <w:rPr>
                <w:rFonts w:hint="eastAsia"/>
                <w:szCs w:val="21"/>
              </w:rPr>
              <w:t>采用了新技术、新工艺、新材料、新设备；</w:t>
            </w:r>
          </w:p>
          <w:p w14:paraId="5B668DE4">
            <w:pPr>
              <w:pStyle w:val="6"/>
              <w:snapToGrid w:val="0"/>
              <w:spacing w:line="360" w:lineRule="auto"/>
              <w:ind w:firstLine="0" w:firstLineChars="0"/>
              <w:rPr>
                <w:szCs w:val="21"/>
              </w:rPr>
            </w:pPr>
            <w:r>
              <w:rPr>
                <w:rFonts w:hint="eastAsia"/>
                <w:szCs w:val="21"/>
              </w:rPr>
              <w:t>3</w:t>
            </w:r>
            <w:r>
              <w:rPr>
                <w:szCs w:val="21"/>
              </w:rPr>
              <w:t>.</w:t>
            </w:r>
            <w:r>
              <w:rPr>
                <w:rFonts w:hint="eastAsia"/>
                <w:szCs w:val="21"/>
              </w:rPr>
              <w:t>获得了与申报工程相关的发明专利、实用新型专利、省部级或以上工艺工法等；</w:t>
            </w:r>
          </w:p>
          <w:p w14:paraId="30E6ADC8">
            <w:pPr>
              <w:pStyle w:val="6"/>
              <w:snapToGrid w:val="0"/>
              <w:spacing w:line="360" w:lineRule="auto"/>
              <w:ind w:firstLine="0" w:firstLineChars="0"/>
              <w:rPr>
                <w:rFonts w:ascii="黑体" w:hAnsi="黑体" w:eastAsia="黑体"/>
                <w:szCs w:val="21"/>
              </w:rPr>
            </w:pPr>
            <w:r>
              <w:rPr>
                <w:rFonts w:hint="eastAsia"/>
                <w:szCs w:val="21"/>
              </w:rPr>
              <w:t>4</w:t>
            </w:r>
            <w:r>
              <w:rPr>
                <w:szCs w:val="21"/>
              </w:rPr>
              <w:t>.</w:t>
            </w:r>
            <w:r>
              <w:rPr>
                <w:rFonts w:hint="eastAsia"/>
                <w:szCs w:val="21"/>
              </w:rPr>
              <w:t>本工程已获得建筑装饰行业科学技术奖。</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02EDC19F">
            <w:pPr>
              <w:snapToGrid w:val="0"/>
              <w:spacing w:line="276" w:lineRule="auto"/>
              <w:rPr>
                <w:rFonts w:ascii="宋体" w:hAnsi="宋体"/>
                <w:szCs w:val="21"/>
              </w:rPr>
            </w:pPr>
            <w:r>
              <w:rPr>
                <w:rFonts w:hint="eastAsia" w:ascii="宋体" w:hAnsi="宋体" w:cs="宋体"/>
                <w:szCs w:val="21"/>
              </w:rPr>
              <w:t>没有新技术应用内容的，扣</w:t>
            </w:r>
            <w:r>
              <w:rPr>
                <w:rFonts w:ascii="宋体" w:hAnsi="宋体" w:cs="宋体"/>
                <w:szCs w:val="21"/>
              </w:rPr>
              <w:t>1</w:t>
            </w:r>
            <w:r>
              <w:rPr>
                <w:rFonts w:hint="eastAsia" w:ascii="宋体" w:hAnsi="宋体" w:cs="宋体"/>
                <w:szCs w:val="21"/>
              </w:rPr>
              <w:t>-</w:t>
            </w:r>
            <w:r>
              <w:rPr>
                <w:rFonts w:ascii="宋体" w:hAnsi="宋体" w:cs="宋体"/>
                <w:szCs w:val="21"/>
              </w:rPr>
              <w:t>3</w:t>
            </w:r>
            <w:r>
              <w:rPr>
                <w:rFonts w:hint="eastAsia" w:ascii="宋体" w:hAnsi="宋体" w:cs="宋体"/>
                <w:szCs w:val="21"/>
              </w:rPr>
              <w:t>分。</w:t>
            </w:r>
          </w:p>
        </w:tc>
        <w:tc>
          <w:tcPr>
            <w:tcW w:w="1701" w:type="dxa"/>
            <w:tcBorders>
              <w:left w:val="single" w:color="auto" w:sz="4" w:space="0"/>
              <w:right w:val="single" w:color="auto" w:sz="4" w:space="0"/>
            </w:tcBorders>
            <w:noWrap w:val="0"/>
            <w:vAlign w:val="center"/>
          </w:tcPr>
          <w:p w14:paraId="68D9CF34">
            <w:pPr>
              <w:snapToGrid w:val="0"/>
              <w:spacing w:line="288" w:lineRule="auto"/>
              <w:jc w:val="left"/>
              <w:rPr>
                <w:rFonts w:ascii="宋体" w:hAnsi="宋体"/>
                <w:szCs w:val="21"/>
              </w:rPr>
            </w:pPr>
          </w:p>
        </w:tc>
        <w:tc>
          <w:tcPr>
            <w:tcW w:w="851" w:type="dxa"/>
            <w:tcBorders>
              <w:left w:val="single" w:color="auto" w:sz="4" w:space="0"/>
              <w:right w:val="single" w:color="auto" w:sz="4" w:space="0"/>
            </w:tcBorders>
            <w:noWrap w:val="0"/>
            <w:vAlign w:val="center"/>
          </w:tcPr>
          <w:p w14:paraId="6A29456B">
            <w:pPr>
              <w:snapToGrid w:val="0"/>
              <w:spacing w:line="288" w:lineRule="auto"/>
              <w:jc w:val="center"/>
              <w:rPr>
                <w:rFonts w:ascii="宋体" w:hAnsi="宋体"/>
                <w:szCs w:val="21"/>
              </w:rPr>
            </w:pPr>
            <w:r>
              <w:rPr>
                <w:rFonts w:hint="eastAsia" w:ascii="宋体" w:hAnsi="宋体"/>
                <w:szCs w:val="21"/>
              </w:rPr>
              <w:t>5分</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95EC704">
            <w:pPr>
              <w:snapToGrid w:val="0"/>
              <w:spacing w:line="276" w:lineRule="auto"/>
              <w:rPr>
                <w:rFonts w:ascii="宋体" w:hAnsi="宋体"/>
                <w:szCs w:val="21"/>
              </w:rPr>
            </w:pPr>
          </w:p>
        </w:tc>
      </w:tr>
      <w:tr w14:paraId="527C3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6" w:hRule="atLeast"/>
        </w:trPr>
        <w:tc>
          <w:tcPr>
            <w:tcW w:w="567" w:type="dxa"/>
            <w:tcBorders>
              <w:left w:val="single" w:color="auto" w:sz="4" w:space="0"/>
              <w:right w:val="single" w:color="auto" w:sz="4" w:space="0"/>
            </w:tcBorders>
            <w:noWrap w:val="0"/>
            <w:vAlign w:val="center"/>
          </w:tcPr>
          <w:p w14:paraId="1EAAFA95">
            <w:pPr>
              <w:snapToGrid w:val="0"/>
              <w:spacing w:line="288" w:lineRule="auto"/>
              <w:jc w:val="center"/>
              <w:rPr>
                <w:rFonts w:ascii="宋体" w:hAnsi="宋体"/>
                <w:szCs w:val="21"/>
              </w:rPr>
            </w:pPr>
            <w:r>
              <w:rPr>
                <w:rFonts w:hint="eastAsia" w:ascii="宋体" w:hAnsi="宋体"/>
                <w:szCs w:val="21"/>
              </w:rPr>
              <w:t>5</w:t>
            </w:r>
          </w:p>
        </w:tc>
        <w:tc>
          <w:tcPr>
            <w:tcW w:w="1277" w:type="dxa"/>
            <w:tcBorders>
              <w:left w:val="single" w:color="auto" w:sz="4" w:space="0"/>
              <w:right w:val="single" w:color="auto" w:sz="4" w:space="0"/>
            </w:tcBorders>
            <w:noWrap w:val="0"/>
            <w:vAlign w:val="center"/>
          </w:tcPr>
          <w:p w14:paraId="556ED779">
            <w:pPr>
              <w:snapToGrid w:val="0"/>
              <w:spacing w:line="240" w:lineRule="exact"/>
              <w:jc w:val="center"/>
              <w:rPr>
                <w:rFonts w:ascii="宋体" w:hAnsi="宋体"/>
                <w:szCs w:val="21"/>
              </w:rPr>
            </w:pPr>
            <w:r>
              <w:rPr>
                <w:rFonts w:ascii="宋体" w:hAnsi="宋体"/>
                <w:szCs w:val="21"/>
              </w:rPr>
              <w:t>总体印象</w:t>
            </w:r>
          </w:p>
        </w:tc>
        <w:tc>
          <w:tcPr>
            <w:tcW w:w="4961" w:type="dxa"/>
            <w:tcBorders>
              <w:top w:val="single" w:color="auto" w:sz="4" w:space="0"/>
              <w:left w:val="single" w:color="auto" w:sz="4" w:space="0"/>
              <w:bottom w:val="single" w:color="auto" w:sz="4" w:space="0"/>
              <w:right w:val="single" w:color="auto" w:sz="4" w:space="0"/>
            </w:tcBorders>
            <w:noWrap w:val="0"/>
            <w:vAlign w:val="center"/>
          </w:tcPr>
          <w:p w14:paraId="44F1B9A1">
            <w:pPr>
              <w:pStyle w:val="6"/>
              <w:snapToGrid w:val="0"/>
              <w:spacing w:line="360" w:lineRule="auto"/>
              <w:ind w:firstLine="0" w:firstLineChars="0"/>
              <w:rPr>
                <w:szCs w:val="21"/>
              </w:rPr>
            </w:pPr>
            <w:r>
              <w:rPr>
                <w:rFonts w:hint="eastAsia"/>
                <w:szCs w:val="21"/>
              </w:rPr>
              <w:t>1</w:t>
            </w:r>
            <w:r>
              <w:rPr>
                <w:szCs w:val="21"/>
              </w:rPr>
              <w:t>.</w:t>
            </w:r>
            <w:r>
              <w:rPr>
                <w:rFonts w:hint="eastAsia"/>
                <w:szCs w:val="21"/>
              </w:rPr>
              <w:t>组织工作准备充分,人员到位(项目经理或执行经理、技术负责人或资料员等相关人员应到场)，汇报内容重点突出、简单明了；</w:t>
            </w:r>
          </w:p>
          <w:p w14:paraId="2D517E24">
            <w:pPr>
              <w:pStyle w:val="6"/>
              <w:snapToGrid w:val="0"/>
              <w:spacing w:line="360" w:lineRule="auto"/>
              <w:ind w:firstLine="0" w:firstLineChars="0"/>
              <w:rPr>
                <w:szCs w:val="21"/>
              </w:rPr>
            </w:pPr>
            <w:r>
              <w:rPr>
                <w:szCs w:val="21"/>
              </w:rPr>
              <w:t>2.</w:t>
            </w:r>
            <w:r>
              <w:rPr>
                <w:rFonts w:hint="eastAsia"/>
                <w:szCs w:val="21"/>
              </w:rPr>
              <w:t>资料准备充分有序，易于查找；</w:t>
            </w:r>
          </w:p>
          <w:p w14:paraId="54AD8E65">
            <w:pPr>
              <w:pStyle w:val="6"/>
              <w:snapToGrid w:val="0"/>
              <w:spacing w:line="360" w:lineRule="auto"/>
              <w:ind w:firstLine="0" w:firstLineChars="0"/>
              <w:rPr>
                <w:szCs w:val="21"/>
              </w:rPr>
            </w:pPr>
            <w:r>
              <w:rPr>
                <w:szCs w:val="21"/>
              </w:rPr>
              <w:t>3.</w:t>
            </w:r>
            <w:r>
              <w:rPr>
                <w:rFonts w:hint="eastAsia"/>
                <w:szCs w:val="21"/>
              </w:rPr>
              <w:t>用户沟通意见；</w:t>
            </w:r>
          </w:p>
          <w:p w14:paraId="3A6CC355">
            <w:pPr>
              <w:pStyle w:val="6"/>
              <w:snapToGrid w:val="0"/>
              <w:spacing w:line="360" w:lineRule="auto"/>
              <w:ind w:firstLine="0" w:firstLineChars="0"/>
              <w:rPr>
                <w:szCs w:val="21"/>
              </w:rPr>
            </w:pPr>
            <w:r>
              <w:rPr>
                <w:rFonts w:hint="eastAsia"/>
                <w:szCs w:val="21"/>
              </w:rPr>
              <w:t>4</w:t>
            </w:r>
            <w:r>
              <w:rPr>
                <w:szCs w:val="21"/>
              </w:rPr>
              <w:t>.</w:t>
            </w:r>
            <w:r>
              <w:rPr>
                <w:rFonts w:hint="eastAsia"/>
                <w:szCs w:val="21"/>
              </w:rPr>
              <w:t>项目实体检查顺畅不受阻。</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13822D98">
            <w:pPr>
              <w:pStyle w:val="6"/>
              <w:snapToGrid w:val="0"/>
              <w:spacing w:line="360" w:lineRule="auto"/>
              <w:ind w:firstLine="0" w:firstLineChars="0"/>
              <w:rPr>
                <w:szCs w:val="21"/>
              </w:rPr>
            </w:pPr>
            <w:r>
              <w:rPr>
                <w:rFonts w:hint="eastAsia"/>
                <w:szCs w:val="21"/>
              </w:rPr>
              <w:t>1</w:t>
            </w:r>
            <w:r>
              <w:rPr>
                <w:szCs w:val="21"/>
              </w:rPr>
              <w:t>.</w:t>
            </w:r>
            <w:r>
              <w:rPr>
                <w:rFonts w:hint="eastAsia"/>
                <w:szCs w:val="21"/>
              </w:rPr>
              <w:t>项目施工主要人员均未到场(扣1-3分)</w:t>
            </w:r>
          </w:p>
          <w:p w14:paraId="78072BF9">
            <w:pPr>
              <w:pStyle w:val="6"/>
              <w:snapToGrid w:val="0"/>
              <w:spacing w:line="360" w:lineRule="auto"/>
              <w:ind w:firstLine="0" w:firstLineChars="0"/>
              <w:rPr>
                <w:szCs w:val="21"/>
              </w:rPr>
            </w:pPr>
            <w:r>
              <w:rPr>
                <w:rFonts w:hint="eastAsia"/>
                <w:szCs w:val="21"/>
              </w:rPr>
              <w:t>2</w:t>
            </w:r>
            <w:r>
              <w:rPr>
                <w:szCs w:val="21"/>
              </w:rPr>
              <w:t>.</w:t>
            </w:r>
            <w:r>
              <w:rPr>
                <w:rFonts w:hint="eastAsia"/>
                <w:szCs w:val="21"/>
              </w:rPr>
              <w:t>资料准备无序不齐全(扣1-2分)；</w:t>
            </w:r>
          </w:p>
          <w:p w14:paraId="25D17CCE">
            <w:pPr>
              <w:pStyle w:val="6"/>
              <w:snapToGrid w:val="0"/>
              <w:spacing w:line="360" w:lineRule="auto"/>
              <w:ind w:firstLine="0" w:firstLineChars="0"/>
              <w:rPr>
                <w:szCs w:val="21"/>
              </w:rPr>
            </w:pPr>
            <w:r>
              <w:rPr>
                <w:rFonts w:hint="eastAsia"/>
                <w:szCs w:val="21"/>
              </w:rPr>
              <w:t>3</w:t>
            </w:r>
            <w:r>
              <w:rPr>
                <w:szCs w:val="21"/>
              </w:rPr>
              <w:t>.</w:t>
            </w:r>
            <w:r>
              <w:rPr>
                <w:rFonts w:hint="eastAsia"/>
                <w:szCs w:val="21"/>
              </w:rPr>
              <w:t>总体印象不佳(扣1-5分)。</w:t>
            </w:r>
          </w:p>
          <w:p w14:paraId="2D32138B">
            <w:pPr>
              <w:pStyle w:val="6"/>
              <w:snapToGrid w:val="0"/>
              <w:spacing w:line="360" w:lineRule="auto"/>
              <w:ind w:firstLine="0" w:firstLineChars="0"/>
              <w:rPr>
                <w:szCs w:val="21"/>
              </w:rPr>
            </w:pPr>
            <w:r>
              <w:rPr>
                <w:rFonts w:hint="eastAsia"/>
                <w:szCs w:val="21"/>
              </w:rPr>
              <w:t>4</w:t>
            </w:r>
            <w:r>
              <w:rPr>
                <w:szCs w:val="21"/>
              </w:rPr>
              <w:t>.</w:t>
            </w:r>
            <w:r>
              <w:rPr>
                <w:rFonts w:hint="eastAsia"/>
                <w:szCs w:val="21"/>
              </w:rPr>
              <w:t>其它不规范、不到位情况(每项扣0.5-1分)。</w:t>
            </w:r>
          </w:p>
        </w:tc>
        <w:tc>
          <w:tcPr>
            <w:tcW w:w="1701" w:type="dxa"/>
            <w:tcBorders>
              <w:left w:val="single" w:color="auto" w:sz="4" w:space="0"/>
              <w:right w:val="single" w:color="auto" w:sz="4" w:space="0"/>
            </w:tcBorders>
            <w:noWrap w:val="0"/>
            <w:vAlign w:val="center"/>
          </w:tcPr>
          <w:p w14:paraId="0343672F">
            <w:pPr>
              <w:pStyle w:val="6"/>
              <w:snapToGrid w:val="0"/>
              <w:spacing w:line="360" w:lineRule="auto"/>
              <w:ind w:firstLine="0" w:firstLineChars="0"/>
              <w:rPr>
                <w:szCs w:val="21"/>
              </w:rPr>
            </w:pPr>
          </w:p>
        </w:tc>
        <w:tc>
          <w:tcPr>
            <w:tcW w:w="851" w:type="dxa"/>
            <w:tcBorders>
              <w:left w:val="single" w:color="auto" w:sz="4" w:space="0"/>
              <w:right w:val="single" w:color="auto" w:sz="4" w:space="0"/>
            </w:tcBorders>
            <w:noWrap w:val="0"/>
            <w:vAlign w:val="center"/>
          </w:tcPr>
          <w:p w14:paraId="410547EC">
            <w:pPr>
              <w:pStyle w:val="6"/>
              <w:snapToGrid w:val="0"/>
              <w:spacing w:line="360" w:lineRule="auto"/>
              <w:ind w:firstLine="0" w:firstLineChars="0"/>
              <w:rPr>
                <w:szCs w:val="21"/>
              </w:rPr>
            </w:pPr>
            <w:r>
              <w:rPr>
                <w:rFonts w:hint="eastAsia"/>
                <w:szCs w:val="21"/>
              </w:rPr>
              <w:t>10分</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53A36EF">
            <w:pPr>
              <w:pStyle w:val="6"/>
              <w:snapToGrid w:val="0"/>
              <w:spacing w:line="360" w:lineRule="auto"/>
              <w:ind w:firstLine="0" w:firstLineChars="0"/>
              <w:rPr>
                <w:szCs w:val="21"/>
              </w:rPr>
            </w:pPr>
            <w:r>
              <w:rPr>
                <w:rFonts w:hint="eastAsia"/>
                <w:szCs w:val="21"/>
              </w:rPr>
              <w:t>查：</w:t>
            </w:r>
          </w:p>
          <w:p w14:paraId="275EC905">
            <w:pPr>
              <w:pStyle w:val="6"/>
              <w:snapToGrid w:val="0"/>
              <w:spacing w:line="360" w:lineRule="auto"/>
              <w:ind w:firstLine="0" w:firstLineChars="0"/>
              <w:rPr>
                <w:szCs w:val="21"/>
              </w:rPr>
            </w:pPr>
            <w:r>
              <w:rPr>
                <w:rFonts w:hint="eastAsia"/>
                <w:szCs w:val="21"/>
              </w:rPr>
              <w:t>1</w:t>
            </w:r>
            <w:r>
              <w:rPr>
                <w:szCs w:val="21"/>
              </w:rPr>
              <w:t>.</w:t>
            </w:r>
            <w:r>
              <w:rPr>
                <w:rFonts w:hint="eastAsia"/>
                <w:szCs w:val="21"/>
              </w:rPr>
              <w:t>组织准备情况等；</w:t>
            </w:r>
          </w:p>
          <w:p w14:paraId="68F8D6EF">
            <w:pPr>
              <w:pStyle w:val="6"/>
              <w:snapToGrid w:val="0"/>
              <w:spacing w:line="360" w:lineRule="auto"/>
              <w:ind w:firstLine="0" w:firstLineChars="0"/>
              <w:rPr>
                <w:szCs w:val="21"/>
              </w:rPr>
            </w:pPr>
            <w:r>
              <w:rPr>
                <w:szCs w:val="21"/>
              </w:rPr>
              <w:t>2.</w:t>
            </w:r>
            <w:r>
              <w:rPr>
                <w:rFonts w:hint="eastAsia"/>
                <w:szCs w:val="21"/>
              </w:rPr>
              <w:t>PPT(项目概况、施工范围、重点难点亮点、施工过程中情况图片等,汇报时间10分钟内)；</w:t>
            </w:r>
          </w:p>
          <w:p w14:paraId="27D670B0">
            <w:pPr>
              <w:pStyle w:val="6"/>
              <w:snapToGrid w:val="0"/>
              <w:spacing w:line="360" w:lineRule="auto"/>
              <w:ind w:firstLine="0" w:firstLineChars="0"/>
              <w:rPr>
                <w:szCs w:val="21"/>
              </w:rPr>
            </w:pPr>
            <w:r>
              <w:rPr>
                <w:szCs w:val="21"/>
              </w:rPr>
              <w:t>3.</w:t>
            </w:r>
            <w:r>
              <w:rPr>
                <w:rFonts w:hint="eastAsia"/>
                <w:szCs w:val="21"/>
              </w:rPr>
              <w:t>用户意见；</w:t>
            </w:r>
          </w:p>
          <w:p w14:paraId="05023D8C">
            <w:pPr>
              <w:pStyle w:val="6"/>
              <w:snapToGrid w:val="0"/>
              <w:spacing w:line="360" w:lineRule="auto"/>
              <w:ind w:firstLine="0" w:firstLineChars="0"/>
              <w:rPr>
                <w:szCs w:val="21"/>
              </w:rPr>
            </w:pPr>
            <w:r>
              <w:rPr>
                <w:rFonts w:hint="eastAsia"/>
                <w:szCs w:val="21"/>
              </w:rPr>
              <w:t>4</w:t>
            </w:r>
            <w:r>
              <w:rPr>
                <w:szCs w:val="21"/>
              </w:rPr>
              <w:t>.</w:t>
            </w:r>
            <w:r>
              <w:rPr>
                <w:rFonts w:hint="eastAsia"/>
                <w:szCs w:val="21"/>
              </w:rPr>
              <w:t>人员、资料、过程安排准备情况。</w:t>
            </w:r>
          </w:p>
        </w:tc>
      </w:tr>
    </w:tbl>
    <w:p w14:paraId="0C6336DB">
      <w:pPr>
        <w:jc w:val="left"/>
        <w:outlineLvl w:val="1"/>
        <w:rPr>
          <w:rFonts w:hint="eastAsia" w:ascii="黑体" w:hAnsi="黑体" w:eastAsia="黑体"/>
          <w:sz w:val="30"/>
          <w:szCs w:val="30"/>
          <w:lang w:eastAsia="zh-CN"/>
        </w:rPr>
      </w:pPr>
      <w:bookmarkStart w:id="12" w:name="_Toc3734"/>
    </w:p>
    <w:p w14:paraId="00426A36">
      <w:pPr>
        <w:jc w:val="left"/>
        <w:outlineLvl w:val="1"/>
        <w:rPr>
          <w:rFonts w:hint="eastAsia" w:ascii="黑体" w:hAnsi="黑体" w:eastAsia="黑体"/>
          <w:sz w:val="30"/>
          <w:szCs w:val="30"/>
          <w:lang w:eastAsia="zh-CN"/>
        </w:rPr>
      </w:pPr>
    </w:p>
    <w:p w14:paraId="26BA65D1">
      <w:pPr>
        <w:jc w:val="left"/>
        <w:outlineLvl w:val="1"/>
        <w:rPr>
          <w:rFonts w:hint="eastAsia" w:ascii="黑体" w:hAnsi="黑体" w:eastAsia="黑体"/>
          <w:sz w:val="30"/>
          <w:szCs w:val="30"/>
          <w:lang w:eastAsia="zh-CN"/>
        </w:rPr>
      </w:pPr>
    </w:p>
    <w:p w14:paraId="0E129D47">
      <w:pPr>
        <w:jc w:val="left"/>
        <w:outlineLvl w:val="1"/>
        <w:rPr>
          <w:rFonts w:hint="eastAsia" w:ascii="黑体" w:hAnsi="黑体" w:eastAsia="黑体"/>
          <w:sz w:val="30"/>
          <w:szCs w:val="30"/>
          <w:lang w:eastAsia="zh-CN"/>
        </w:rPr>
      </w:pPr>
    </w:p>
    <w:p w14:paraId="70A80B73">
      <w:pPr>
        <w:jc w:val="left"/>
        <w:outlineLvl w:val="1"/>
        <w:rPr>
          <w:rFonts w:hint="eastAsia" w:ascii="黑体" w:hAnsi="黑体" w:eastAsia="黑体"/>
          <w:sz w:val="30"/>
          <w:szCs w:val="30"/>
          <w:lang w:eastAsia="zh-CN"/>
        </w:rPr>
      </w:pPr>
    </w:p>
    <w:p w14:paraId="230503A6">
      <w:pPr>
        <w:jc w:val="left"/>
        <w:outlineLvl w:val="1"/>
        <w:rPr>
          <w:rFonts w:hint="eastAsia" w:ascii="黑体" w:hAnsi="黑体" w:eastAsia="黑体"/>
          <w:sz w:val="30"/>
          <w:szCs w:val="30"/>
          <w:lang w:eastAsia="zh-CN"/>
        </w:rPr>
      </w:pPr>
    </w:p>
    <w:p w14:paraId="62DC19DF">
      <w:pPr>
        <w:jc w:val="left"/>
        <w:outlineLvl w:val="1"/>
        <w:rPr>
          <w:rFonts w:hint="eastAsia" w:ascii="黑体" w:hAnsi="黑体" w:eastAsia="黑体"/>
          <w:sz w:val="30"/>
          <w:szCs w:val="30"/>
          <w:lang w:eastAsia="zh-CN"/>
        </w:rPr>
      </w:pPr>
      <w:r>
        <w:rPr>
          <w:rFonts w:hint="eastAsia" w:ascii="黑体" w:hAnsi="黑体" w:eastAsia="黑体"/>
          <w:sz w:val="30"/>
          <w:szCs w:val="30"/>
          <w:lang w:eastAsia="zh-CN"/>
        </w:rPr>
        <w:t>表三：</w:t>
      </w:r>
    </w:p>
    <w:p w14:paraId="1E20EE70">
      <w:pPr>
        <w:jc w:val="center"/>
        <w:outlineLvl w:val="1"/>
        <w:rPr>
          <w:rFonts w:ascii="宋体" w:hAnsi="宋体"/>
          <w:bCs/>
          <w:sz w:val="28"/>
          <w:szCs w:val="28"/>
        </w:rPr>
      </w:pPr>
      <w:r>
        <w:rPr>
          <w:rFonts w:hint="eastAsia" w:ascii="黑体" w:hAnsi="黑体" w:eastAsia="黑体"/>
          <w:sz w:val="30"/>
          <w:szCs w:val="30"/>
        </w:rPr>
        <w:t>住宅工程复查实施细则</w:t>
      </w:r>
      <w:bookmarkEnd w:id="12"/>
    </w:p>
    <w:p w14:paraId="40C2589D">
      <w:pPr>
        <w:ind w:firstLine="201" w:firstLineChars="200"/>
        <w:rPr>
          <w:b/>
          <w:bCs/>
          <w:sz w:val="10"/>
          <w:szCs w:val="10"/>
        </w:rPr>
      </w:pPr>
      <w:r>
        <w:rPr>
          <w:b/>
          <w:bCs/>
          <w:sz w:val="10"/>
          <w:szCs w:val="10"/>
        </w:rPr>
        <w:t xml:space="preserve"> </w:t>
      </w:r>
    </w:p>
    <w:tbl>
      <w:tblPr>
        <w:tblStyle w:val="4"/>
        <w:tblW w:w="14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7"/>
        <w:gridCol w:w="4961"/>
        <w:gridCol w:w="2409"/>
        <w:gridCol w:w="1701"/>
        <w:gridCol w:w="851"/>
        <w:gridCol w:w="2268"/>
      </w:tblGrid>
      <w:tr w14:paraId="601E5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noWrap w:val="0"/>
            <w:vAlign w:val="center"/>
          </w:tcPr>
          <w:p w14:paraId="7514A92F">
            <w:pPr>
              <w:snapToGrid w:val="0"/>
              <w:spacing w:line="288" w:lineRule="auto"/>
              <w:jc w:val="center"/>
              <w:rPr>
                <w:b/>
                <w:bCs/>
                <w:sz w:val="24"/>
              </w:rPr>
            </w:pPr>
            <w:r>
              <w:rPr>
                <w:b/>
                <w:bCs/>
                <w:sz w:val="24"/>
              </w:rPr>
              <w:t>序号</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7BD6C881">
            <w:pPr>
              <w:snapToGrid w:val="0"/>
              <w:spacing w:line="288" w:lineRule="auto"/>
              <w:jc w:val="center"/>
              <w:rPr>
                <w:b/>
                <w:bCs/>
                <w:sz w:val="24"/>
              </w:rPr>
            </w:pPr>
            <w:r>
              <w:rPr>
                <w:rFonts w:hint="eastAsia"/>
                <w:b/>
                <w:bCs/>
                <w:sz w:val="24"/>
              </w:rPr>
              <w:t>复查项目</w:t>
            </w:r>
          </w:p>
        </w:tc>
        <w:tc>
          <w:tcPr>
            <w:tcW w:w="4961" w:type="dxa"/>
            <w:tcBorders>
              <w:top w:val="single" w:color="auto" w:sz="4" w:space="0"/>
              <w:left w:val="single" w:color="auto" w:sz="4" w:space="0"/>
              <w:bottom w:val="single" w:color="auto" w:sz="4" w:space="0"/>
              <w:right w:val="single" w:color="auto" w:sz="4" w:space="0"/>
            </w:tcBorders>
            <w:noWrap w:val="0"/>
            <w:vAlign w:val="center"/>
          </w:tcPr>
          <w:p w14:paraId="7907ACCC">
            <w:pPr>
              <w:snapToGrid w:val="0"/>
              <w:spacing w:line="288" w:lineRule="auto"/>
              <w:jc w:val="center"/>
              <w:rPr>
                <w:b/>
                <w:bCs/>
                <w:sz w:val="24"/>
              </w:rPr>
            </w:pPr>
            <w:r>
              <w:rPr>
                <w:rFonts w:hint="eastAsia"/>
                <w:b/>
                <w:bCs/>
                <w:sz w:val="24"/>
              </w:rPr>
              <w:t>复查内容</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6FFC48DB">
            <w:pPr>
              <w:snapToGrid w:val="0"/>
              <w:spacing w:line="288" w:lineRule="auto"/>
              <w:jc w:val="center"/>
              <w:rPr>
                <w:b/>
                <w:bCs/>
                <w:sz w:val="24"/>
              </w:rPr>
            </w:pPr>
            <w:r>
              <w:rPr>
                <w:rFonts w:hint="eastAsia"/>
                <w:b/>
                <w:bCs/>
                <w:sz w:val="24"/>
              </w:rPr>
              <w:t>评分标准</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66E62DB">
            <w:pPr>
              <w:snapToGrid w:val="0"/>
              <w:spacing w:line="288" w:lineRule="auto"/>
              <w:jc w:val="center"/>
              <w:rPr>
                <w:b/>
                <w:bCs/>
                <w:sz w:val="24"/>
              </w:rPr>
            </w:pPr>
            <w:r>
              <w:rPr>
                <w:b/>
                <w:bCs/>
                <w:sz w:val="24"/>
              </w:rPr>
              <w:t>备注</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7E8470C0">
            <w:pPr>
              <w:snapToGrid w:val="0"/>
              <w:spacing w:line="288" w:lineRule="auto"/>
              <w:jc w:val="center"/>
              <w:rPr>
                <w:b/>
                <w:bCs/>
                <w:sz w:val="24"/>
              </w:rPr>
            </w:pPr>
            <w:r>
              <w:rPr>
                <w:rFonts w:hint="eastAsia"/>
                <w:b/>
                <w:bCs/>
                <w:sz w:val="24"/>
              </w:rPr>
              <w:t>分值</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6380B2F">
            <w:pPr>
              <w:snapToGrid w:val="0"/>
              <w:spacing w:line="288" w:lineRule="auto"/>
              <w:jc w:val="center"/>
              <w:rPr>
                <w:b/>
                <w:bCs/>
                <w:sz w:val="24"/>
              </w:rPr>
            </w:pPr>
            <w:r>
              <w:rPr>
                <w:rFonts w:hint="eastAsia"/>
                <w:b/>
                <w:bCs/>
                <w:sz w:val="24"/>
              </w:rPr>
              <w:t>复查方法</w:t>
            </w:r>
          </w:p>
        </w:tc>
      </w:tr>
      <w:tr w14:paraId="3A65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8" w:hRule="atLeast"/>
        </w:trPr>
        <w:tc>
          <w:tcPr>
            <w:tcW w:w="567" w:type="dxa"/>
            <w:vMerge w:val="restart"/>
            <w:tcBorders>
              <w:top w:val="single" w:color="auto" w:sz="4" w:space="0"/>
              <w:left w:val="single" w:color="auto" w:sz="4" w:space="0"/>
              <w:right w:val="single" w:color="auto" w:sz="4" w:space="0"/>
            </w:tcBorders>
            <w:noWrap w:val="0"/>
            <w:vAlign w:val="center"/>
          </w:tcPr>
          <w:p w14:paraId="14A3FE8E">
            <w:pPr>
              <w:snapToGrid w:val="0"/>
              <w:spacing w:line="288" w:lineRule="auto"/>
              <w:jc w:val="center"/>
              <w:rPr>
                <w:rFonts w:ascii="宋体" w:hAnsi="宋体"/>
                <w:szCs w:val="21"/>
              </w:rPr>
            </w:pPr>
            <w:r>
              <w:rPr>
                <w:rFonts w:ascii="宋体" w:hAnsi="宋体"/>
                <w:szCs w:val="21"/>
              </w:rPr>
              <w:t>1</w:t>
            </w:r>
          </w:p>
        </w:tc>
        <w:tc>
          <w:tcPr>
            <w:tcW w:w="1277" w:type="dxa"/>
            <w:vMerge w:val="restart"/>
            <w:tcBorders>
              <w:top w:val="single" w:color="auto" w:sz="4" w:space="0"/>
              <w:left w:val="single" w:color="auto" w:sz="4" w:space="0"/>
              <w:right w:val="single" w:color="auto" w:sz="4" w:space="0"/>
            </w:tcBorders>
            <w:noWrap w:val="0"/>
            <w:vAlign w:val="center"/>
          </w:tcPr>
          <w:p w14:paraId="27F4CBA3">
            <w:pPr>
              <w:snapToGrid w:val="0"/>
              <w:spacing w:line="240" w:lineRule="exact"/>
              <w:jc w:val="center"/>
              <w:rPr>
                <w:rFonts w:ascii="宋体" w:hAnsi="宋体"/>
                <w:szCs w:val="21"/>
              </w:rPr>
            </w:pPr>
            <w:r>
              <w:rPr>
                <w:rFonts w:hint="eastAsia" w:ascii="宋体" w:hAnsi="宋体"/>
                <w:szCs w:val="21"/>
              </w:rPr>
              <w:t>资料</w:t>
            </w:r>
          </w:p>
        </w:tc>
        <w:tc>
          <w:tcPr>
            <w:tcW w:w="4961" w:type="dxa"/>
            <w:tcBorders>
              <w:top w:val="single" w:color="auto" w:sz="4" w:space="0"/>
              <w:left w:val="single" w:color="auto" w:sz="4" w:space="0"/>
              <w:bottom w:val="single" w:color="auto" w:sz="4" w:space="0"/>
              <w:right w:val="single" w:color="auto" w:sz="4" w:space="0"/>
            </w:tcBorders>
            <w:noWrap w:val="0"/>
            <w:vAlign w:val="center"/>
          </w:tcPr>
          <w:p w14:paraId="64F61D97">
            <w:pPr>
              <w:snapToGrid w:val="0"/>
              <w:spacing w:line="360" w:lineRule="auto"/>
              <w:rPr>
                <w:rFonts w:ascii="黑体" w:hAnsi="黑体" w:eastAsia="黑体"/>
                <w:szCs w:val="21"/>
              </w:rPr>
            </w:pPr>
            <w:r>
              <w:rPr>
                <w:rFonts w:hint="eastAsia" w:ascii="黑体" w:hAnsi="黑体" w:eastAsia="黑体"/>
                <w:szCs w:val="21"/>
              </w:rPr>
              <w:t>必要文件：</w:t>
            </w:r>
          </w:p>
          <w:p w14:paraId="2DBDD403">
            <w:pPr>
              <w:snapToGrid w:val="0"/>
              <w:spacing w:line="360" w:lineRule="auto"/>
              <w:rPr>
                <w:rFonts w:ascii="宋体" w:hAnsi="宋体"/>
                <w:szCs w:val="21"/>
              </w:rPr>
            </w:pPr>
            <w:r>
              <w:rPr>
                <w:rFonts w:hint="eastAsia" w:ascii="宋体" w:hAnsi="宋体"/>
                <w:szCs w:val="21"/>
              </w:rPr>
              <w:t>1.企业法人营业证照、资质等级证书、安全生产许可证（此三项上一年度参评企业可提供加盖本单位公章的复印件）</w:t>
            </w:r>
          </w:p>
          <w:p w14:paraId="2CBD2D0F">
            <w:pPr>
              <w:snapToGrid w:val="0"/>
              <w:spacing w:line="360" w:lineRule="auto"/>
              <w:rPr>
                <w:rFonts w:ascii="宋体" w:hAnsi="宋体"/>
                <w:szCs w:val="21"/>
              </w:rPr>
            </w:pPr>
            <w:r>
              <w:rPr>
                <w:rFonts w:hint="eastAsia" w:ascii="宋体" w:hAnsi="宋体"/>
                <w:szCs w:val="21"/>
              </w:rPr>
              <w:t>2.项目经理注册建造师证书、安全生产考核合格证书；</w:t>
            </w:r>
          </w:p>
          <w:p w14:paraId="149124EF">
            <w:pPr>
              <w:snapToGrid w:val="0"/>
              <w:spacing w:line="360" w:lineRule="auto"/>
              <w:rPr>
                <w:rFonts w:ascii="宋体" w:hAnsi="宋体"/>
                <w:szCs w:val="21"/>
              </w:rPr>
            </w:pPr>
            <w:r>
              <w:rPr>
                <w:rFonts w:hint="eastAsia" w:ascii="宋体" w:hAnsi="宋体"/>
                <w:szCs w:val="21"/>
              </w:rPr>
              <w:t>3.施工许可相关证明文件；</w:t>
            </w:r>
          </w:p>
          <w:p w14:paraId="3444796A">
            <w:pPr>
              <w:snapToGrid w:val="0"/>
              <w:spacing w:line="360" w:lineRule="auto"/>
              <w:rPr>
                <w:rFonts w:ascii="宋体" w:hAnsi="宋体"/>
                <w:szCs w:val="21"/>
              </w:rPr>
            </w:pPr>
            <w:r>
              <w:rPr>
                <w:rFonts w:hint="eastAsia" w:ascii="宋体" w:hAnsi="宋体"/>
                <w:szCs w:val="21"/>
              </w:rPr>
              <w:t>4.施工合同；</w:t>
            </w:r>
          </w:p>
          <w:p w14:paraId="5A597A6D">
            <w:pPr>
              <w:snapToGrid w:val="0"/>
              <w:spacing w:line="360" w:lineRule="auto"/>
              <w:rPr>
                <w:rFonts w:ascii="宋体" w:hAnsi="宋体"/>
                <w:szCs w:val="21"/>
              </w:rPr>
            </w:pPr>
            <w:r>
              <w:rPr>
                <w:rFonts w:hint="eastAsia" w:ascii="宋体" w:hAnsi="宋体"/>
                <w:szCs w:val="21"/>
              </w:rPr>
              <w:t>5.项目竣工验收证明文件（相关责任主体签章必须齐全）；</w:t>
            </w:r>
          </w:p>
          <w:p w14:paraId="798BF646">
            <w:pPr>
              <w:snapToGrid w:val="0"/>
              <w:spacing w:line="360" w:lineRule="auto"/>
              <w:rPr>
                <w:rFonts w:ascii="宋体" w:hAnsi="宋体"/>
                <w:szCs w:val="21"/>
              </w:rPr>
            </w:pPr>
            <w:r>
              <w:rPr>
                <w:rFonts w:hint="eastAsia" w:ascii="宋体" w:hAnsi="宋体"/>
                <w:szCs w:val="21"/>
              </w:rPr>
              <w:t>6.消防验收合格证明或消防竣工备案证明；</w:t>
            </w:r>
          </w:p>
          <w:p w14:paraId="6065BFC4">
            <w:pPr>
              <w:snapToGrid w:val="0"/>
              <w:spacing w:line="360" w:lineRule="auto"/>
              <w:rPr>
                <w:rFonts w:ascii="宋体" w:hAnsi="宋体"/>
                <w:szCs w:val="21"/>
              </w:rPr>
            </w:pPr>
            <w:r>
              <w:rPr>
                <w:rFonts w:hint="eastAsia" w:ascii="宋体" w:hAnsi="宋体"/>
                <w:szCs w:val="21"/>
              </w:rPr>
              <w:t>7.室内环境质量检测报告，需由具备相应资质的检测机构出具；</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08E72C9B">
            <w:pPr>
              <w:snapToGrid w:val="0"/>
              <w:spacing w:line="360" w:lineRule="auto"/>
              <w:jc w:val="left"/>
              <w:rPr>
                <w:rFonts w:ascii="宋体" w:hAnsi="宋体"/>
                <w:szCs w:val="21"/>
              </w:rPr>
            </w:pPr>
            <w:r>
              <w:rPr>
                <w:rFonts w:hint="eastAsia" w:ascii="宋体" w:hAnsi="宋体"/>
                <w:szCs w:val="21"/>
              </w:rPr>
              <w:t>必要文件有一项不合格或不符合要求者不予评审。</w:t>
            </w:r>
          </w:p>
        </w:tc>
        <w:tc>
          <w:tcPr>
            <w:tcW w:w="1701" w:type="dxa"/>
            <w:tcBorders>
              <w:top w:val="single" w:color="auto" w:sz="4" w:space="0"/>
              <w:left w:val="single" w:color="auto" w:sz="4" w:space="0"/>
              <w:right w:val="single" w:color="auto" w:sz="4" w:space="0"/>
            </w:tcBorders>
            <w:noWrap w:val="0"/>
            <w:vAlign w:val="center"/>
          </w:tcPr>
          <w:p w14:paraId="59A5F349">
            <w:pPr>
              <w:snapToGrid w:val="0"/>
              <w:spacing w:line="288" w:lineRule="auto"/>
              <w:jc w:val="left"/>
              <w:rPr>
                <w:rFonts w:ascii="宋体" w:hAnsi="宋体"/>
                <w:szCs w:val="21"/>
              </w:rPr>
            </w:pPr>
            <w:r>
              <w:rPr>
                <w:rFonts w:hint="eastAsia" w:ascii="宋体" w:hAnsi="宋体"/>
                <w:szCs w:val="21"/>
              </w:rPr>
              <w:t>必要文件应为原件或可网查的电子文件打印件并加盖申报单位鲜章。</w:t>
            </w:r>
          </w:p>
          <w:p w14:paraId="35094C49">
            <w:pPr>
              <w:snapToGrid w:val="0"/>
              <w:spacing w:line="288" w:lineRule="auto"/>
              <w:jc w:val="left"/>
              <w:rPr>
                <w:rFonts w:ascii="宋体" w:hAnsi="宋体"/>
                <w:szCs w:val="21"/>
              </w:rPr>
            </w:pPr>
            <w:r>
              <w:rPr>
                <w:rFonts w:hint="eastAsia" w:ascii="宋体" w:hAnsi="宋体"/>
                <w:bCs/>
                <w:szCs w:val="21"/>
              </w:rPr>
              <w:t>室内环境质量检测单位必须具有相应的检测资质，检测项目及检测标准必须符合现行国家标准《民用建筑工程室内环境污染控制标准》GB50325-2020中</w:t>
            </w:r>
            <w:r>
              <w:rPr>
                <w:rFonts w:ascii="宋体" w:hAnsi="宋体"/>
                <w:bCs/>
                <w:szCs w:val="21"/>
              </w:rPr>
              <w:fldChar w:fldCharType="begin"/>
            </w:r>
            <w:r>
              <w:rPr>
                <w:rFonts w:hint="eastAsia" w:ascii="宋体" w:hAnsi="宋体"/>
                <w:bCs/>
                <w:szCs w:val="21"/>
              </w:rPr>
              <w:instrText xml:space="preserve">= 1 \* ROMAN</w:instrText>
            </w:r>
            <w:r>
              <w:rPr>
                <w:rFonts w:ascii="宋体" w:hAnsi="宋体"/>
                <w:bCs/>
                <w:szCs w:val="21"/>
              </w:rPr>
              <w:fldChar w:fldCharType="separate"/>
            </w:r>
            <w:r>
              <w:rPr>
                <w:rFonts w:ascii="宋体" w:hAnsi="宋体"/>
                <w:bCs/>
                <w:szCs w:val="21"/>
              </w:rPr>
              <w:t>I</w:t>
            </w:r>
            <w:r>
              <w:rPr>
                <w:rFonts w:ascii="宋体" w:hAnsi="宋体"/>
                <w:szCs w:val="21"/>
              </w:rPr>
              <w:fldChar w:fldCharType="end"/>
            </w:r>
            <w:r>
              <w:rPr>
                <w:rFonts w:hint="eastAsia" w:ascii="宋体" w:hAnsi="宋体"/>
                <w:bCs/>
                <w:szCs w:val="21"/>
              </w:rPr>
              <w:t>类民用建筑的规定。</w:t>
            </w:r>
          </w:p>
        </w:tc>
        <w:tc>
          <w:tcPr>
            <w:tcW w:w="851" w:type="dxa"/>
            <w:vMerge w:val="restart"/>
            <w:tcBorders>
              <w:top w:val="single" w:color="auto" w:sz="4" w:space="0"/>
              <w:left w:val="single" w:color="auto" w:sz="4" w:space="0"/>
              <w:right w:val="single" w:color="auto" w:sz="4" w:space="0"/>
            </w:tcBorders>
            <w:noWrap w:val="0"/>
            <w:vAlign w:val="center"/>
          </w:tcPr>
          <w:p w14:paraId="667D6DB8">
            <w:pPr>
              <w:snapToGrid w:val="0"/>
              <w:spacing w:line="288" w:lineRule="auto"/>
              <w:jc w:val="center"/>
              <w:rPr>
                <w:rFonts w:ascii="宋体" w:hAnsi="宋体"/>
                <w:szCs w:val="21"/>
              </w:rPr>
            </w:pPr>
            <w:r>
              <w:rPr>
                <w:rFonts w:hint="eastAsia" w:ascii="宋体" w:hAnsi="宋体"/>
                <w:szCs w:val="21"/>
              </w:rPr>
              <w:t>2</w:t>
            </w:r>
            <w:r>
              <w:rPr>
                <w:rFonts w:ascii="宋体" w:hAnsi="宋体"/>
                <w:szCs w:val="21"/>
              </w:rPr>
              <w:t>0</w:t>
            </w:r>
            <w:r>
              <w:rPr>
                <w:rFonts w:hint="eastAsia" w:ascii="宋体" w:hAnsi="宋体"/>
                <w:szCs w:val="21"/>
              </w:rPr>
              <w:t>分</w:t>
            </w:r>
          </w:p>
        </w:tc>
        <w:tc>
          <w:tcPr>
            <w:tcW w:w="2268" w:type="dxa"/>
            <w:tcBorders>
              <w:top w:val="single" w:color="auto" w:sz="4" w:space="0"/>
              <w:left w:val="single" w:color="auto" w:sz="4" w:space="0"/>
              <w:right w:val="single" w:color="auto" w:sz="4" w:space="0"/>
            </w:tcBorders>
            <w:noWrap w:val="0"/>
            <w:vAlign w:val="center"/>
          </w:tcPr>
          <w:p w14:paraId="0F0F73E9">
            <w:pPr>
              <w:snapToGrid w:val="0"/>
              <w:spacing w:line="276" w:lineRule="auto"/>
              <w:rPr>
                <w:rFonts w:ascii="宋体" w:hAnsi="宋体"/>
                <w:szCs w:val="21"/>
              </w:rPr>
            </w:pPr>
            <w:r>
              <w:rPr>
                <w:rFonts w:hint="eastAsia" w:ascii="宋体" w:hAnsi="宋体"/>
                <w:szCs w:val="21"/>
              </w:rPr>
              <w:t>查：相关文件资料原件或电子证件（提供网查链接）；</w:t>
            </w:r>
          </w:p>
          <w:p w14:paraId="2FDC11CA">
            <w:pPr>
              <w:snapToGrid w:val="0"/>
              <w:spacing w:line="276" w:lineRule="auto"/>
              <w:ind w:firstLine="420" w:firstLineChars="200"/>
              <w:rPr>
                <w:rFonts w:ascii="宋体" w:hAnsi="宋体"/>
                <w:szCs w:val="21"/>
              </w:rPr>
            </w:pPr>
            <w:r>
              <w:rPr>
                <w:rFonts w:hint="eastAsia" w:ascii="宋体" w:hAnsi="宋体"/>
                <w:szCs w:val="21"/>
              </w:rPr>
              <w:t>原件已存入城建档案馆或城建档案管理机构的可提供由档案馆或城建档案管理机构出具的加盖出具单位和申报单位鲜章并注明“原件存于X</w:t>
            </w:r>
            <w:r>
              <w:rPr>
                <w:rFonts w:ascii="宋体" w:hAnsi="宋体"/>
                <w:szCs w:val="21"/>
              </w:rPr>
              <w:t>XX</w:t>
            </w:r>
            <w:r>
              <w:rPr>
                <w:rFonts w:hint="eastAsia" w:ascii="宋体" w:hAnsi="宋体"/>
                <w:szCs w:val="21"/>
              </w:rPr>
              <w:t>，复印件与原件相同”字样的复印件。</w:t>
            </w:r>
          </w:p>
        </w:tc>
      </w:tr>
      <w:tr w14:paraId="5202A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67" w:type="dxa"/>
            <w:vMerge w:val="continue"/>
            <w:tcBorders>
              <w:left w:val="single" w:color="auto" w:sz="4" w:space="0"/>
              <w:right w:val="single" w:color="auto" w:sz="4" w:space="0"/>
            </w:tcBorders>
            <w:noWrap w:val="0"/>
            <w:vAlign w:val="center"/>
          </w:tcPr>
          <w:p w14:paraId="6374B708">
            <w:pPr>
              <w:snapToGrid w:val="0"/>
              <w:spacing w:line="288" w:lineRule="auto"/>
              <w:jc w:val="center"/>
              <w:rPr>
                <w:rFonts w:ascii="宋体" w:hAnsi="宋体"/>
                <w:szCs w:val="21"/>
              </w:rPr>
            </w:pPr>
          </w:p>
        </w:tc>
        <w:tc>
          <w:tcPr>
            <w:tcW w:w="1277" w:type="dxa"/>
            <w:vMerge w:val="continue"/>
            <w:tcBorders>
              <w:left w:val="single" w:color="auto" w:sz="4" w:space="0"/>
              <w:right w:val="single" w:color="auto" w:sz="4" w:space="0"/>
            </w:tcBorders>
            <w:noWrap w:val="0"/>
            <w:vAlign w:val="center"/>
          </w:tcPr>
          <w:p w14:paraId="0848FE20">
            <w:pPr>
              <w:snapToGrid w:val="0"/>
              <w:spacing w:line="240" w:lineRule="exact"/>
              <w:jc w:val="center"/>
              <w:rPr>
                <w:rFonts w:ascii="宋体" w:hAnsi="宋体"/>
                <w:szCs w:val="21"/>
              </w:rPr>
            </w:pPr>
          </w:p>
        </w:tc>
        <w:tc>
          <w:tcPr>
            <w:tcW w:w="4961" w:type="dxa"/>
            <w:tcBorders>
              <w:top w:val="single" w:color="auto" w:sz="4" w:space="0"/>
              <w:left w:val="single" w:color="auto" w:sz="4" w:space="0"/>
              <w:bottom w:val="single" w:color="auto" w:sz="4" w:space="0"/>
              <w:right w:val="single" w:color="auto" w:sz="4" w:space="0"/>
            </w:tcBorders>
            <w:noWrap w:val="0"/>
            <w:vAlign w:val="center"/>
          </w:tcPr>
          <w:p w14:paraId="4DBB71E1">
            <w:pPr>
              <w:snapToGrid w:val="0"/>
              <w:spacing w:line="360" w:lineRule="auto"/>
              <w:rPr>
                <w:rFonts w:ascii="黑体" w:hAnsi="黑体" w:eastAsia="黑体"/>
                <w:spacing w:val="-4"/>
                <w:szCs w:val="21"/>
              </w:rPr>
            </w:pPr>
            <w:r>
              <w:rPr>
                <w:rFonts w:hint="eastAsia" w:ascii="黑体" w:hAnsi="黑体" w:eastAsia="黑体"/>
                <w:szCs w:val="21"/>
              </w:rPr>
              <w:t>工程安全证明资料：</w:t>
            </w:r>
          </w:p>
          <w:p w14:paraId="4E71FF5C">
            <w:pPr>
              <w:snapToGrid w:val="0"/>
              <w:spacing w:line="360" w:lineRule="auto"/>
              <w:rPr>
                <w:rFonts w:ascii="宋体" w:hAnsi="宋体"/>
                <w:spacing w:val="-4"/>
                <w:szCs w:val="21"/>
              </w:rPr>
            </w:pPr>
            <w:r>
              <w:rPr>
                <w:rFonts w:hint="eastAsia" w:ascii="宋体" w:hAnsi="宋体"/>
                <w:spacing w:val="-4"/>
                <w:szCs w:val="21"/>
              </w:rPr>
              <w:t>1.涉及主体和承重结构改动或增加荷载时，必须具有经原结构设计单位或具备相应资质设计单位的认可文件（需审查原件）；</w:t>
            </w:r>
          </w:p>
          <w:p w14:paraId="33230536">
            <w:pPr>
              <w:snapToGrid w:val="0"/>
              <w:spacing w:line="360" w:lineRule="auto"/>
              <w:rPr>
                <w:rFonts w:ascii="宋体" w:hAnsi="宋体"/>
                <w:spacing w:val="-4"/>
                <w:szCs w:val="21"/>
              </w:rPr>
            </w:pPr>
            <w:r>
              <w:rPr>
                <w:rFonts w:hint="eastAsia" w:ascii="宋体" w:hAnsi="宋体"/>
                <w:spacing w:val="-4"/>
                <w:szCs w:val="21"/>
              </w:rPr>
              <w:t>2.饰面板后置埋件的现场拉拔力检测报告；</w:t>
            </w:r>
          </w:p>
          <w:p w14:paraId="418887DC">
            <w:pPr>
              <w:snapToGrid w:val="0"/>
              <w:spacing w:line="360" w:lineRule="auto"/>
              <w:rPr>
                <w:rFonts w:ascii="宋体" w:hAnsi="宋体"/>
                <w:spacing w:val="-4"/>
                <w:szCs w:val="21"/>
              </w:rPr>
            </w:pPr>
            <w:r>
              <w:rPr>
                <w:rFonts w:hint="eastAsia" w:ascii="宋体" w:hAnsi="宋体"/>
                <w:spacing w:val="-4"/>
                <w:szCs w:val="21"/>
              </w:rPr>
              <w:t>3.质量大于10kg的灯具，要全数提供其固定装置的强度试验记录。</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02D4AF8">
            <w:pPr>
              <w:snapToGrid w:val="0"/>
              <w:spacing w:line="276" w:lineRule="auto"/>
              <w:rPr>
                <w:rFonts w:ascii="宋体" w:hAnsi="宋体"/>
                <w:szCs w:val="21"/>
              </w:rPr>
            </w:pPr>
          </w:p>
          <w:p w14:paraId="4991971D">
            <w:pPr>
              <w:pStyle w:val="6"/>
              <w:snapToGrid w:val="0"/>
              <w:spacing w:line="276" w:lineRule="auto"/>
              <w:ind w:firstLine="0" w:firstLineChars="0"/>
              <w:rPr>
                <w:rFonts w:ascii="宋体" w:hAnsi="宋体"/>
                <w:szCs w:val="21"/>
              </w:rPr>
            </w:pPr>
            <w:r>
              <w:rPr>
                <w:rFonts w:hint="eastAsia" w:ascii="宋体" w:hAnsi="宋体"/>
                <w:bCs/>
                <w:szCs w:val="21"/>
              </w:rPr>
              <w:t>1</w:t>
            </w:r>
            <w:r>
              <w:rPr>
                <w:rFonts w:ascii="宋体" w:hAnsi="宋体"/>
                <w:bCs/>
                <w:szCs w:val="21"/>
              </w:rPr>
              <w:t>.</w:t>
            </w:r>
            <w:r>
              <w:rPr>
                <w:rFonts w:hint="eastAsia" w:ascii="宋体" w:hAnsi="宋体"/>
                <w:bCs/>
                <w:szCs w:val="21"/>
              </w:rPr>
              <w:t>改动建筑主体、承重结构或增加结构荷载，但未提供相关工程安全证明资料的，扣20分；</w:t>
            </w:r>
          </w:p>
          <w:p w14:paraId="73C84669">
            <w:pPr>
              <w:pStyle w:val="6"/>
              <w:snapToGrid w:val="0"/>
              <w:spacing w:line="276" w:lineRule="auto"/>
              <w:ind w:firstLine="0" w:firstLineChars="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未提供现场拉拔力检测报告或检测不合格的，扣3～5分；</w:t>
            </w:r>
          </w:p>
          <w:p w14:paraId="452B3A7C">
            <w:pPr>
              <w:pStyle w:val="6"/>
              <w:snapToGrid w:val="0"/>
              <w:spacing w:line="276" w:lineRule="auto"/>
              <w:ind w:firstLine="0" w:firstLineChars="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未提供或所提供的强度试验记录不符合相关规范规定的，扣3～5分。</w:t>
            </w:r>
          </w:p>
        </w:tc>
        <w:tc>
          <w:tcPr>
            <w:tcW w:w="1701" w:type="dxa"/>
            <w:tcBorders>
              <w:left w:val="single" w:color="auto" w:sz="4" w:space="0"/>
              <w:right w:val="single" w:color="auto" w:sz="4" w:space="0"/>
            </w:tcBorders>
            <w:noWrap w:val="0"/>
            <w:vAlign w:val="center"/>
          </w:tcPr>
          <w:p w14:paraId="6C610961">
            <w:pPr>
              <w:snapToGrid w:val="0"/>
              <w:spacing w:line="288" w:lineRule="auto"/>
              <w:jc w:val="left"/>
              <w:rPr>
                <w:rFonts w:ascii="宋体" w:hAnsi="宋体"/>
                <w:szCs w:val="21"/>
              </w:rPr>
            </w:pPr>
            <w:r>
              <w:rPr>
                <w:rFonts w:hint="eastAsia" w:ascii="宋体" w:hAnsi="宋体"/>
                <w:bCs/>
                <w:szCs w:val="21"/>
              </w:rPr>
              <w:t>强度试验要按5倍灯具重量的均布荷载，试验时间应不少于15min，固定装置及其部件应无明显变形。</w:t>
            </w:r>
          </w:p>
        </w:tc>
        <w:tc>
          <w:tcPr>
            <w:tcW w:w="851" w:type="dxa"/>
            <w:vMerge w:val="continue"/>
            <w:tcBorders>
              <w:left w:val="single" w:color="auto" w:sz="4" w:space="0"/>
              <w:right w:val="single" w:color="auto" w:sz="4" w:space="0"/>
            </w:tcBorders>
            <w:noWrap w:val="0"/>
            <w:vAlign w:val="center"/>
          </w:tcPr>
          <w:p w14:paraId="1171A85A">
            <w:pPr>
              <w:snapToGrid w:val="0"/>
              <w:spacing w:line="288" w:lineRule="auto"/>
              <w:jc w:val="center"/>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770FDEA">
            <w:pPr>
              <w:snapToGrid w:val="0"/>
              <w:spacing w:line="276" w:lineRule="auto"/>
              <w:rPr>
                <w:rFonts w:ascii="宋体" w:hAnsi="宋体"/>
                <w:szCs w:val="21"/>
              </w:rPr>
            </w:pPr>
            <w:r>
              <w:rPr>
                <w:rFonts w:hint="eastAsia" w:ascii="宋体" w:hAnsi="宋体"/>
                <w:szCs w:val="21"/>
              </w:rPr>
              <w:t>结合工程实体查相关资料</w:t>
            </w:r>
          </w:p>
        </w:tc>
      </w:tr>
      <w:tr w14:paraId="5F2A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567" w:type="dxa"/>
            <w:vMerge w:val="continue"/>
            <w:tcBorders>
              <w:left w:val="single" w:color="auto" w:sz="4" w:space="0"/>
              <w:bottom w:val="single" w:color="auto" w:sz="4" w:space="0"/>
              <w:right w:val="single" w:color="auto" w:sz="4" w:space="0"/>
            </w:tcBorders>
            <w:noWrap w:val="0"/>
            <w:vAlign w:val="center"/>
          </w:tcPr>
          <w:p w14:paraId="41D0E609">
            <w:pPr>
              <w:snapToGrid w:val="0"/>
              <w:spacing w:line="288" w:lineRule="auto"/>
              <w:jc w:val="center"/>
              <w:rPr>
                <w:rFonts w:ascii="宋体" w:hAnsi="宋体"/>
                <w:szCs w:val="21"/>
              </w:rPr>
            </w:pPr>
          </w:p>
        </w:tc>
        <w:tc>
          <w:tcPr>
            <w:tcW w:w="1277" w:type="dxa"/>
            <w:vMerge w:val="continue"/>
            <w:tcBorders>
              <w:left w:val="single" w:color="auto" w:sz="4" w:space="0"/>
              <w:right w:val="single" w:color="auto" w:sz="4" w:space="0"/>
            </w:tcBorders>
            <w:noWrap w:val="0"/>
            <w:vAlign w:val="center"/>
          </w:tcPr>
          <w:p w14:paraId="02931662">
            <w:pPr>
              <w:snapToGrid w:val="0"/>
              <w:spacing w:line="240" w:lineRule="exact"/>
              <w:jc w:val="center"/>
              <w:rPr>
                <w:rFonts w:ascii="宋体" w:hAnsi="宋体"/>
                <w:szCs w:val="21"/>
              </w:rPr>
            </w:pPr>
          </w:p>
        </w:tc>
        <w:tc>
          <w:tcPr>
            <w:tcW w:w="4961" w:type="dxa"/>
            <w:tcBorders>
              <w:top w:val="single" w:color="auto" w:sz="4" w:space="0"/>
              <w:left w:val="single" w:color="auto" w:sz="4" w:space="0"/>
              <w:bottom w:val="single" w:color="auto" w:sz="4" w:space="0"/>
              <w:right w:val="single" w:color="auto" w:sz="4" w:space="0"/>
            </w:tcBorders>
            <w:noWrap w:val="0"/>
            <w:vAlign w:val="center"/>
          </w:tcPr>
          <w:p w14:paraId="07B4B304">
            <w:pPr>
              <w:snapToGrid w:val="0"/>
              <w:spacing w:line="288" w:lineRule="auto"/>
              <w:rPr>
                <w:rFonts w:ascii="黑体" w:hAnsi="黑体" w:eastAsia="黑体"/>
                <w:szCs w:val="21"/>
              </w:rPr>
            </w:pPr>
          </w:p>
          <w:p w14:paraId="782B30F6">
            <w:pPr>
              <w:snapToGrid w:val="0"/>
              <w:spacing w:line="288" w:lineRule="auto"/>
              <w:rPr>
                <w:rFonts w:ascii="黑体" w:hAnsi="黑体" w:eastAsia="黑体"/>
                <w:szCs w:val="21"/>
              </w:rPr>
            </w:pPr>
            <w:r>
              <w:rPr>
                <w:rFonts w:hint="eastAsia" w:ascii="黑体" w:hAnsi="黑体" w:eastAsia="黑体"/>
                <w:szCs w:val="21"/>
              </w:rPr>
              <w:t>过程资料：</w:t>
            </w:r>
          </w:p>
          <w:p w14:paraId="79D2A0E1">
            <w:pPr>
              <w:snapToGrid w:val="0"/>
              <w:spacing w:line="288" w:lineRule="auto"/>
              <w:ind w:firstLine="31" w:firstLineChars="15"/>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施工组织设计</w:t>
            </w:r>
          </w:p>
          <w:p w14:paraId="4E9CE979">
            <w:pPr>
              <w:snapToGrid w:val="0"/>
              <w:spacing w:line="288" w:lineRule="auto"/>
              <w:ind w:firstLine="31" w:firstLineChars="15"/>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技术交底记录</w:t>
            </w:r>
          </w:p>
          <w:p w14:paraId="34C218AB">
            <w:pPr>
              <w:snapToGrid w:val="0"/>
              <w:spacing w:line="288" w:lineRule="auto"/>
              <w:ind w:firstLine="31" w:firstLineChars="15"/>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施工日志</w:t>
            </w:r>
          </w:p>
          <w:p w14:paraId="63C13599">
            <w:pPr>
              <w:snapToGrid w:val="0"/>
              <w:spacing w:line="288" w:lineRule="auto"/>
              <w:ind w:firstLine="31" w:firstLineChars="15"/>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主要材料的合格证、检测报告、报验表</w:t>
            </w:r>
          </w:p>
          <w:p w14:paraId="5F537756">
            <w:pPr>
              <w:snapToGrid w:val="0"/>
              <w:spacing w:line="288" w:lineRule="auto"/>
              <w:ind w:firstLine="31" w:firstLineChars="15"/>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主要材料及其性能指标的复试报告：</w:t>
            </w:r>
          </w:p>
          <w:p w14:paraId="08DB1300">
            <w:pPr>
              <w:snapToGrid w:val="0"/>
              <w:spacing w:line="288" w:lineRule="auto"/>
              <w:ind w:firstLine="31" w:firstLineChars="15"/>
              <w:rPr>
                <w:rFonts w:ascii="宋体" w:hAnsi="宋体"/>
                <w:szCs w:val="21"/>
              </w:rPr>
            </w:pPr>
            <w:r>
              <w:rPr>
                <w:rFonts w:hint="eastAsia" w:ascii="宋体" w:hAnsi="宋体"/>
                <w:szCs w:val="21"/>
              </w:rPr>
              <w:t>（1）抹灰工程：</w:t>
            </w:r>
            <w:r>
              <w:rPr>
                <w:rFonts w:hint="eastAsia" w:ascii="宋体" w:hAnsi="宋体"/>
                <w:szCs w:val="21"/>
              </w:rPr>
              <w:fldChar w:fldCharType="begin"/>
            </w:r>
            <w:r>
              <w:rPr>
                <w:rFonts w:hint="eastAsia" w:ascii="宋体" w:hAnsi="宋体"/>
                <w:szCs w:val="21"/>
              </w:rPr>
              <w:instrText xml:space="preserve"> = 1 \* GB3 \* MERGEFORMAT </w:instrText>
            </w:r>
            <w:r>
              <w:rPr>
                <w:rFonts w:hint="eastAsia" w:ascii="宋体" w:hAnsi="宋体"/>
                <w:szCs w:val="21"/>
              </w:rPr>
              <w:fldChar w:fldCharType="separate"/>
            </w:r>
            <w:r>
              <w:rPr>
                <w:rFonts w:hint="eastAsia" w:ascii="宋体" w:hAnsi="宋体"/>
                <w:szCs w:val="21"/>
              </w:rPr>
              <w:t>①</w:t>
            </w:r>
            <w:r>
              <w:rPr>
                <w:rFonts w:hint="eastAsia" w:ascii="宋体" w:hAnsi="宋体"/>
                <w:szCs w:val="21"/>
              </w:rPr>
              <w:fldChar w:fldCharType="end"/>
            </w:r>
            <w:r>
              <w:rPr>
                <w:rFonts w:hint="eastAsia" w:ascii="宋体" w:hAnsi="宋体"/>
                <w:szCs w:val="21"/>
              </w:rPr>
              <w:t>砂浆的拉伸粘结强度；</w:t>
            </w:r>
            <w:r>
              <w:rPr>
                <w:rFonts w:hint="eastAsia" w:ascii="宋体" w:hAnsi="宋体"/>
                <w:szCs w:val="21"/>
              </w:rPr>
              <w:fldChar w:fldCharType="begin"/>
            </w:r>
            <w:r>
              <w:rPr>
                <w:rFonts w:hint="eastAsia" w:ascii="宋体" w:hAnsi="宋体"/>
                <w:szCs w:val="21"/>
              </w:rPr>
              <w:instrText xml:space="preserve"> = 2 \* GB3 \* MERGEFORMAT </w:instrText>
            </w:r>
            <w:r>
              <w:rPr>
                <w:rFonts w:hint="eastAsia" w:ascii="宋体" w:hAnsi="宋体"/>
                <w:szCs w:val="21"/>
              </w:rPr>
              <w:fldChar w:fldCharType="separate"/>
            </w:r>
            <w:r>
              <w:rPr>
                <w:rFonts w:hint="eastAsia" w:ascii="宋体" w:hAnsi="宋体"/>
                <w:szCs w:val="21"/>
              </w:rPr>
              <w:t>②</w:t>
            </w:r>
            <w:r>
              <w:rPr>
                <w:rFonts w:hint="eastAsia" w:ascii="宋体" w:hAnsi="宋体"/>
                <w:szCs w:val="21"/>
              </w:rPr>
              <w:fldChar w:fldCharType="end"/>
            </w:r>
            <w:r>
              <w:rPr>
                <w:rFonts w:hint="eastAsia" w:ascii="宋体" w:hAnsi="宋体"/>
                <w:szCs w:val="21"/>
              </w:rPr>
              <w:t>聚合物砂浆的保水率；</w:t>
            </w:r>
          </w:p>
          <w:p w14:paraId="5C515779">
            <w:pPr>
              <w:snapToGrid w:val="0"/>
              <w:spacing w:line="288" w:lineRule="auto"/>
              <w:ind w:firstLine="31" w:firstLineChars="15"/>
              <w:rPr>
                <w:rFonts w:ascii="宋体" w:hAnsi="宋体"/>
                <w:szCs w:val="21"/>
              </w:rPr>
            </w:pPr>
            <w:r>
              <w:rPr>
                <w:rFonts w:hint="eastAsia" w:ascii="宋体" w:hAnsi="宋体"/>
                <w:szCs w:val="21"/>
              </w:rPr>
              <w:t>（2）门窗工程：人造木板门的甲醛释放量；</w:t>
            </w:r>
          </w:p>
          <w:p w14:paraId="2077258F">
            <w:pPr>
              <w:snapToGrid w:val="0"/>
              <w:spacing w:line="288" w:lineRule="auto"/>
              <w:ind w:firstLine="31" w:firstLineChars="15"/>
              <w:rPr>
                <w:rFonts w:ascii="宋体" w:hAnsi="宋体"/>
                <w:szCs w:val="21"/>
              </w:rPr>
            </w:pPr>
            <w:r>
              <w:rPr>
                <w:rFonts w:hint="eastAsia" w:ascii="宋体" w:hAnsi="宋体"/>
                <w:szCs w:val="21"/>
              </w:rPr>
              <w:t>（3）吊顶工程：人造木板的甲醛释放量。</w:t>
            </w:r>
          </w:p>
          <w:p w14:paraId="0B6AD265">
            <w:pPr>
              <w:snapToGrid w:val="0"/>
              <w:spacing w:line="288" w:lineRule="auto"/>
              <w:ind w:firstLine="31" w:firstLineChars="15"/>
              <w:rPr>
                <w:rFonts w:ascii="宋体" w:hAnsi="宋体"/>
                <w:szCs w:val="21"/>
              </w:rPr>
            </w:pPr>
            <w:r>
              <w:rPr>
                <w:rFonts w:hint="eastAsia" w:ascii="宋体" w:hAnsi="宋体"/>
                <w:szCs w:val="21"/>
              </w:rPr>
              <w:t>（4）轻质隔墙工程：人造木板的甲醛释放量。</w:t>
            </w:r>
          </w:p>
          <w:p w14:paraId="3A103383">
            <w:pPr>
              <w:snapToGrid w:val="0"/>
              <w:spacing w:line="288" w:lineRule="auto"/>
              <w:ind w:firstLine="31" w:firstLineChars="15"/>
              <w:rPr>
                <w:rFonts w:ascii="宋体" w:hAnsi="宋体"/>
                <w:szCs w:val="21"/>
              </w:rPr>
            </w:pPr>
            <w:r>
              <w:rPr>
                <w:rFonts w:hint="eastAsia" w:ascii="宋体" w:hAnsi="宋体"/>
                <w:szCs w:val="21"/>
              </w:rPr>
              <w:t>（5）饰面板工程：</w:t>
            </w:r>
            <w:r>
              <w:rPr>
                <w:rFonts w:hint="eastAsia" w:ascii="宋体" w:hAnsi="宋体"/>
                <w:szCs w:val="21"/>
              </w:rPr>
              <w:fldChar w:fldCharType="begin"/>
            </w:r>
            <w:r>
              <w:rPr>
                <w:rFonts w:hint="eastAsia" w:ascii="宋体" w:hAnsi="宋体"/>
                <w:szCs w:val="21"/>
              </w:rPr>
              <w:instrText xml:space="preserve"> = 1 \* GB3 \* MERGEFORMAT </w:instrText>
            </w:r>
            <w:r>
              <w:rPr>
                <w:rFonts w:hint="eastAsia" w:ascii="宋体" w:hAnsi="宋体"/>
                <w:szCs w:val="21"/>
              </w:rPr>
              <w:fldChar w:fldCharType="separate"/>
            </w:r>
            <w:r>
              <w:rPr>
                <w:rFonts w:hint="eastAsia" w:ascii="宋体" w:hAnsi="宋体"/>
                <w:szCs w:val="21"/>
              </w:rPr>
              <w:t>①</w:t>
            </w:r>
            <w:r>
              <w:rPr>
                <w:rFonts w:hint="eastAsia" w:ascii="宋体" w:hAnsi="宋体"/>
                <w:szCs w:val="21"/>
              </w:rPr>
              <w:fldChar w:fldCharType="end"/>
            </w:r>
            <w:r>
              <w:rPr>
                <w:rFonts w:hint="eastAsia" w:ascii="宋体" w:hAnsi="宋体"/>
                <w:szCs w:val="21"/>
              </w:rPr>
              <w:t>花岗石板的放射性；</w:t>
            </w:r>
            <w:r>
              <w:rPr>
                <w:rFonts w:hint="eastAsia" w:ascii="宋体" w:hAnsi="宋体"/>
                <w:szCs w:val="21"/>
              </w:rPr>
              <w:fldChar w:fldCharType="begin"/>
            </w:r>
            <w:r>
              <w:rPr>
                <w:rFonts w:hint="eastAsia" w:ascii="宋体" w:hAnsi="宋体"/>
                <w:szCs w:val="21"/>
              </w:rPr>
              <w:instrText xml:space="preserve"> = 2 \* GB3 </w:instrText>
            </w:r>
            <w:r>
              <w:rPr>
                <w:rFonts w:hint="eastAsia" w:ascii="宋体" w:hAnsi="宋体"/>
                <w:szCs w:val="21"/>
              </w:rPr>
              <w:fldChar w:fldCharType="separate"/>
            </w:r>
            <w:r>
              <w:rPr>
                <w:rFonts w:hint="eastAsia" w:ascii="宋体" w:hAnsi="宋体"/>
                <w:szCs w:val="21"/>
              </w:rPr>
              <w:t>②</w:t>
            </w:r>
            <w:r>
              <w:rPr>
                <w:rFonts w:hint="eastAsia" w:ascii="宋体" w:hAnsi="宋体"/>
                <w:szCs w:val="21"/>
              </w:rPr>
              <w:fldChar w:fldCharType="end"/>
            </w:r>
            <w:r>
              <w:rPr>
                <w:rFonts w:hint="eastAsia" w:ascii="宋体" w:hAnsi="宋体"/>
                <w:szCs w:val="21"/>
              </w:rPr>
              <w:t>人造木板的甲醛释放量；</w:t>
            </w:r>
            <w:r>
              <w:rPr>
                <w:rFonts w:hint="eastAsia" w:ascii="宋体" w:hAnsi="宋体"/>
                <w:szCs w:val="21"/>
              </w:rPr>
              <w:fldChar w:fldCharType="begin"/>
            </w:r>
            <w:r>
              <w:rPr>
                <w:rFonts w:hint="eastAsia" w:ascii="宋体" w:hAnsi="宋体"/>
                <w:szCs w:val="21"/>
              </w:rPr>
              <w:instrText xml:space="preserve"> = 3 \* GB3 </w:instrText>
            </w:r>
            <w:r>
              <w:rPr>
                <w:rFonts w:hint="eastAsia" w:ascii="宋体" w:hAnsi="宋体"/>
                <w:szCs w:val="21"/>
              </w:rPr>
              <w:fldChar w:fldCharType="separate"/>
            </w:r>
            <w:r>
              <w:rPr>
                <w:rFonts w:hint="eastAsia" w:ascii="宋体" w:hAnsi="宋体"/>
                <w:szCs w:val="21"/>
              </w:rPr>
              <w:t>③</w:t>
            </w:r>
            <w:r>
              <w:rPr>
                <w:rFonts w:hint="eastAsia" w:ascii="宋体" w:hAnsi="宋体"/>
                <w:szCs w:val="21"/>
              </w:rPr>
              <w:fldChar w:fldCharType="end"/>
            </w:r>
            <w:r>
              <w:rPr>
                <w:rFonts w:hint="eastAsia" w:ascii="宋体" w:hAnsi="宋体"/>
                <w:szCs w:val="21"/>
              </w:rPr>
              <w:t>水泥基粘结料的粘结强度。</w:t>
            </w:r>
          </w:p>
          <w:p w14:paraId="744A8043">
            <w:pPr>
              <w:snapToGrid w:val="0"/>
              <w:spacing w:line="288" w:lineRule="auto"/>
              <w:ind w:firstLine="31" w:firstLineChars="15"/>
              <w:rPr>
                <w:rFonts w:ascii="宋体" w:hAnsi="宋体"/>
                <w:szCs w:val="21"/>
              </w:rPr>
            </w:pPr>
            <w:r>
              <w:rPr>
                <w:rFonts w:hint="eastAsia" w:ascii="宋体" w:hAnsi="宋体"/>
                <w:szCs w:val="21"/>
              </w:rPr>
              <w:t>（6）饰面砖工程：</w:t>
            </w:r>
            <w:r>
              <w:rPr>
                <w:rFonts w:hint="eastAsia" w:ascii="宋体" w:hAnsi="宋体"/>
                <w:szCs w:val="21"/>
              </w:rPr>
              <w:fldChar w:fldCharType="begin"/>
            </w:r>
            <w:r>
              <w:rPr>
                <w:rFonts w:hint="eastAsia" w:ascii="宋体" w:hAnsi="宋体"/>
                <w:szCs w:val="21"/>
              </w:rPr>
              <w:instrText xml:space="preserve"> = 1 \* GB3 \* MERGEFORMAT </w:instrText>
            </w:r>
            <w:r>
              <w:rPr>
                <w:rFonts w:hint="eastAsia" w:ascii="宋体" w:hAnsi="宋体"/>
                <w:szCs w:val="21"/>
              </w:rPr>
              <w:fldChar w:fldCharType="separate"/>
            </w:r>
            <w:r>
              <w:rPr>
                <w:rFonts w:hint="eastAsia" w:ascii="宋体" w:hAnsi="宋体"/>
                <w:szCs w:val="21"/>
              </w:rPr>
              <w:t>①</w:t>
            </w:r>
            <w:r>
              <w:rPr>
                <w:rFonts w:hint="eastAsia" w:ascii="宋体" w:hAnsi="宋体"/>
                <w:szCs w:val="21"/>
              </w:rPr>
              <w:fldChar w:fldCharType="end"/>
            </w:r>
            <w:r>
              <w:rPr>
                <w:rFonts w:hint="eastAsia" w:ascii="宋体" w:hAnsi="宋体"/>
                <w:szCs w:val="21"/>
              </w:rPr>
              <w:t>花岗石和瓷质饰面砖的放射性；</w:t>
            </w:r>
            <w:r>
              <w:rPr>
                <w:rFonts w:hint="eastAsia" w:ascii="宋体" w:hAnsi="宋体"/>
                <w:szCs w:val="21"/>
              </w:rPr>
              <w:fldChar w:fldCharType="begin"/>
            </w:r>
            <w:r>
              <w:rPr>
                <w:rFonts w:hint="eastAsia" w:ascii="宋体" w:hAnsi="宋体"/>
                <w:szCs w:val="21"/>
              </w:rPr>
              <w:instrText xml:space="preserve"> = 2 \* GB3 \* MERGEFORMAT </w:instrText>
            </w:r>
            <w:r>
              <w:rPr>
                <w:rFonts w:hint="eastAsia" w:ascii="宋体" w:hAnsi="宋体"/>
                <w:szCs w:val="21"/>
              </w:rPr>
              <w:fldChar w:fldCharType="separate"/>
            </w:r>
            <w:r>
              <w:rPr>
                <w:rFonts w:hint="eastAsia" w:ascii="宋体" w:hAnsi="宋体"/>
                <w:szCs w:val="21"/>
              </w:rPr>
              <w:t>②</w:t>
            </w:r>
            <w:r>
              <w:rPr>
                <w:rFonts w:hint="eastAsia" w:ascii="宋体" w:hAnsi="宋体"/>
                <w:szCs w:val="21"/>
              </w:rPr>
              <w:fldChar w:fldCharType="end"/>
            </w:r>
            <w:r>
              <w:rPr>
                <w:rFonts w:hint="eastAsia" w:ascii="宋体" w:hAnsi="宋体"/>
                <w:szCs w:val="21"/>
              </w:rPr>
              <w:t>水泥基粘结材料与所用外墙饰面砖的拉伸粘结强度；</w:t>
            </w:r>
          </w:p>
          <w:p w14:paraId="75625470">
            <w:pPr>
              <w:snapToGrid w:val="0"/>
              <w:spacing w:line="288" w:lineRule="auto"/>
              <w:ind w:firstLine="31" w:firstLineChars="15"/>
              <w:rPr>
                <w:rFonts w:ascii="宋体" w:hAnsi="宋体"/>
                <w:szCs w:val="21"/>
              </w:rPr>
            </w:pPr>
            <w:r>
              <w:rPr>
                <w:rFonts w:hint="eastAsia" w:ascii="宋体" w:hAnsi="宋体"/>
                <w:szCs w:val="21"/>
              </w:rPr>
              <w:t>（7）裱糊与软包工程：</w:t>
            </w:r>
            <w:r>
              <w:rPr>
                <w:rFonts w:hint="eastAsia" w:ascii="宋体" w:hAnsi="宋体"/>
                <w:szCs w:val="21"/>
              </w:rPr>
              <w:fldChar w:fldCharType="begin"/>
            </w:r>
            <w:r>
              <w:rPr>
                <w:rFonts w:hint="eastAsia" w:ascii="宋体" w:hAnsi="宋体"/>
                <w:szCs w:val="21"/>
              </w:rPr>
              <w:instrText xml:space="preserve"> = 1 \* GB3 \* MERGEFORMAT </w:instrText>
            </w:r>
            <w:r>
              <w:rPr>
                <w:rFonts w:hint="eastAsia" w:ascii="宋体" w:hAnsi="宋体"/>
                <w:szCs w:val="21"/>
              </w:rPr>
              <w:fldChar w:fldCharType="separate"/>
            </w:r>
            <w:r>
              <w:rPr>
                <w:rFonts w:hint="eastAsia" w:ascii="宋体" w:hAnsi="宋体"/>
                <w:szCs w:val="21"/>
              </w:rPr>
              <w:t>①</w:t>
            </w:r>
            <w:r>
              <w:rPr>
                <w:rFonts w:hint="eastAsia" w:ascii="宋体" w:hAnsi="宋体"/>
                <w:szCs w:val="21"/>
              </w:rPr>
              <w:fldChar w:fldCharType="end"/>
            </w:r>
            <w:r>
              <w:rPr>
                <w:rFonts w:hint="eastAsia" w:ascii="宋体" w:hAnsi="宋体"/>
                <w:szCs w:val="21"/>
              </w:rPr>
              <w:t>木材含水率；</w:t>
            </w:r>
            <w:r>
              <w:rPr>
                <w:rFonts w:hint="eastAsia" w:ascii="宋体" w:hAnsi="宋体"/>
                <w:szCs w:val="21"/>
              </w:rPr>
              <w:fldChar w:fldCharType="begin"/>
            </w:r>
            <w:r>
              <w:rPr>
                <w:rFonts w:hint="eastAsia" w:ascii="宋体" w:hAnsi="宋体"/>
                <w:szCs w:val="21"/>
              </w:rPr>
              <w:instrText xml:space="preserve"> = 2 \* GB3 \* MERGEFORMAT </w:instrText>
            </w:r>
            <w:r>
              <w:rPr>
                <w:rFonts w:hint="eastAsia" w:ascii="宋体" w:hAnsi="宋体"/>
                <w:szCs w:val="21"/>
              </w:rPr>
              <w:fldChar w:fldCharType="separate"/>
            </w:r>
            <w:r>
              <w:rPr>
                <w:rFonts w:hint="eastAsia" w:ascii="宋体" w:hAnsi="宋体"/>
                <w:szCs w:val="21"/>
              </w:rPr>
              <w:t>②</w:t>
            </w:r>
            <w:r>
              <w:rPr>
                <w:rFonts w:hint="eastAsia" w:ascii="宋体" w:hAnsi="宋体"/>
                <w:szCs w:val="21"/>
              </w:rPr>
              <w:fldChar w:fldCharType="end"/>
            </w:r>
            <w:r>
              <w:rPr>
                <w:rFonts w:hint="eastAsia" w:ascii="宋体" w:hAnsi="宋体"/>
                <w:szCs w:val="21"/>
              </w:rPr>
              <w:t>人造木板的甲醛释放量。</w:t>
            </w:r>
          </w:p>
          <w:p w14:paraId="7A13EF2F">
            <w:pPr>
              <w:snapToGrid w:val="0"/>
              <w:spacing w:line="288" w:lineRule="auto"/>
              <w:ind w:firstLine="31" w:firstLineChars="15"/>
              <w:rPr>
                <w:rFonts w:ascii="宋体" w:hAnsi="宋体"/>
                <w:szCs w:val="21"/>
              </w:rPr>
            </w:pPr>
            <w:r>
              <w:rPr>
                <w:rFonts w:hint="eastAsia" w:ascii="宋体" w:hAnsi="宋体"/>
                <w:szCs w:val="21"/>
              </w:rPr>
              <w:t>（8）细部工程：</w:t>
            </w:r>
            <w:r>
              <w:rPr>
                <w:rFonts w:hint="eastAsia" w:ascii="宋体" w:hAnsi="宋体"/>
                <w:szCs w:val="21"/>
              </w:rPr>
              <w:fldChar w:fldCharType="begin"/>
            </w:r>
            <w:r>
              <w:rPr>
                <w:rFonts w:hint="eastAsia" w:ascii="宋体" w:hAnsi="宋体"/>
                <w:szCs w:val="21"/>
              </w:rPr>
              <w:instrText xml:space="preserve"> = 1 \* GB3 \* MERGEFORMAT </w:instrText>
            </w:r>
            <w:r>
              <w:rPr>
                <w:rFonts w:hint="eastAsia" w:ascii="宋体" w:hAnsi="宋体"/>
                <w:szCs w:val="21"/>
              </w:rPr>
              <w:fldChar w:fldCharType="separate"/>
            </w:r>
            <w:r>
              <w:rPr>
                <w:rFonts w:hint="eastAsia" w:ascii="宋体" w:hAnsi="宋体"/>
                <w:szCs w:val="21"/>
              </w:rPr>
              <w:t>①</w:t>
            </w:r>
            <w:r>
              <w:rPr>
                <w:rFonts w:hint="eastAsia" w:ascii="宋体" w:hAnsi="宋体"/>
                <w:szCs w:val="21"/>
              </w:rPr>
              <w:fldChar w:fldCharType="end"/>
            </w:r>
            <w:r>
              <w:rPr>
                <w:rFonts w:hint="eastAsia" w:ascii="宋体" w:hAnsi="宋体"/>
                <w:szCs w:val="21"/>
              </w:rPr>
              <w:t>花岗石的放射性；</w:t>
            </w:r>
            <w:r>
              <w:rPr>
                <w:rFonts w:hint="eastAsia" w:ascii="宋体" w:hAnsi="宋体"/>
                <w:szCs w:val="21"/>
              </w:rPr>
              <w:fldChar w:fldCharType="begin"/>
            </w:r>
            <w:r>
              <w:rPr>
                <w:rFonts w:hint="eastAsia" w:ascii="宋体" w:hAnsi="宋体"/>
                <w:szCs w:val="21"/>
              </w:rPr>
              <w:instrText xml:space="preserve"> = 2 \* GB3 \* MERGEFORMAT </w:instrText>
            </w:r>
            <w:r>
              <w:rPr>
                <w:rFonts w:hint="eastAsia" w:ascii="宋体" w:hAnsi="宋体"/>
                <w:szCs w:val="21"/>
              </w:rPr>
              <w:fldChar w:fldCharType="separate"/>
            </w:r>
            <w:r>
              <w:rPr>
                <w:rFonts w:hint="eastAsia" w:ascii="宋体" w:hAnsi="宋体"/>
                <w:szCs w:val="21"/>
              </w:rPr>
              <w:t>②</w:t>
            </w:r>
            <w:r>
              <w:rPr>
                <w:rFonts w:hint="eastAsia" w:ascii="宋体" w:hAnsi="宋体"/>
                <w:szCs w:val="21"/>
              </w:rPr>
              <w:fldChar w:fldCharType="end"/>
            </w:r>
            <w:r>
              <w:rPr>
                <w:rFonts w:hint="eastAsia" w:ascii="宋体" w:hAnsi="宋体"/>
                <w:szCs w:val="21"/>
              </w:rPr>
              <w:t>人造木板的甲醛释放量。</w:t>
            </w:r>
          </w:p>
          <w:p w14:paraId="3FF1C271">
            <w:pPr>
              <w:snapToGrid w:val="0"/>
              <w:spacing w:line="288" w:lineRule="auto"/>
              <w:ind w:firstLine="31" w:firstLineChars="15"/>
              <w:rPr>
                <w:rFonts w:ascii="宋体" w:hAnsi="宋体"/>
                <w:szCs w:val="21"/>
              </w:rPr>
            </w:pPr>
            <w:r>
              <w:rPr>
                <w:rFonts w:hint="eastAsia" w:ascii="宋体" w:hAnsi="宋体"/>
                <w:szCs w:val="21"/>
              </w:rPr>
              <w:t>（9）防水工程：防水材料的主要物理指标。</w:t>
            </w:r>
          </w:p>
          <w:p w14:paraId="7BCCF44B">
            <w:pPr>
              <w:snapToGrid w:val="0"/>
              <w:spacing w:line="288" w:lineRule="auto"/>
              <w:ind w:firstLine="31" w:firstLineChars="15"/>
              <w:rPr>
                <w:rFonts w:ascii="宋体" w:hAnsi="宋体"/>
                <w:szCs w:val="21"/>
              </w:rPr>
            </w:pPr>
            <w:r>
              <w:rPr>
                <w:rFonts w:hint="eastAsia" w:ascii="宋体" w:hAnsi="宋体"/>
                <w:szCs w:val="21"/>
              </w:rPr>
              <w:t>（10）给排水工程、电气照明工程、采暖与通风等相关规范要求复试的其他材料及其性能指标。</w:t>
            </w:r>
          </w:p>
          <w:p w14:paraId="49C6CD33">
            <w:pPr>
              <w:snapToGrid w:val="0"/>
              <w:spacing w:line="288" w:lineRule="auto"/>
              <w:ind w:firstLine="31" w:firstLineChars="15"/>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隐蔽工程验收记录</w:t>
            </w:r>
          </w:p>
          <w:p w14:paraId="1F619D97">
            <w:pPr>
              <w:snapToGrid w:val="0"/>
              <w:spacing w:line="288" w:lineRule="auto"/>
              <w:ind w:firstLine="31" w:firstLineChars="15"/>
              <w:rPr>
                <w:rFonts w:ascii="宋体" w:hAnsi="宋体"/>
                <w:szCs w:val="21"/>
              </w:rPr>
            </w:pPr>
            <w:r>
              <w:rPr>
                <w:rFonts w:hint="eastAsia" w:ascii="宋体" w:hAnsi="宋体"/>
                <w:szCs w:val="21"/>
              </w:rPr>
              <w:t>（1）抹灰工程：</w:t>
            </w:r>
            <w:r>
              <w:rPr>
                <w:rFonts w:hint="eastAsia" w:ascii="宋体" w:hAnsi="宋体"/>
                <w:szCs w:val="21"/>
              </w:rPr>
              <w:fldChar w:fldCharType="begin"/>
            </w:r>
            <w:r>
              <w:rPr>
                <w:rFonts w:hint="eastAsia" w:ascii="宋体" w:hAnsi="宋体"/>
                <w:szCs w:val="21"/>
              </w:rPr>
              <w:instrText xml:space="preserve"> = 1 \* GB3 \* MERGEFORMAT </w:instrText>
            </w:r>
            <w:r>
              <w:rPr>
                <w:rFonts w:hint="eastAsia" w:ascii="宋体" w:hAnsi="宋体"/>
                <w:szCs w:val="21"/>
              </w:rPr>
              <w:fldChar w:fldCharType="separate"/>
            </w:r>
            <w:r>
              <w:rPr>
                <w:rFonts w:hint="eastAsia" w:ascii="宋体" w:hAnsi="宋体"/>
                <w:szCs w:val="21"/>
              </w:rPr>
              <w:t>①</w:t>
            </w:r>
            <w:r>
              <w:rPr>
                <w:rFonts w:hint="eastAsia" w:ascii="宋体" w:hAnsi="宋体"/>
                <w:szCs w:val="21"/>
              </w:rPr>
              <w:fldChar w:fldCharType="end"/>
            </w:r>
            <w:r>
              <w:rPr>
                <w:rFonts w:hint="eastAsia" w:ascii="宋体" w:hAnsi="宋体"/>
                <w:szCs w:val="21"/>
              </w:rPr>
              <w:t>抹灰总厚度大于或等于35mm时的加强措施；</w:t>
            </w:r>
            <w:r>
              <w:rPr>
                <w:rFonts w:hint="eastAsia" w:ascii="宋体" w:hAnsi="宋体"/>
                <w:szCs w:val="21"/>
              </w:rPr>
              <w:fldChar w:fldCharType="begin"/>
            </w:r>
            <w:r>
              <w:rPr>
                <w:rFonts w:hint="eastAsia" w:ascii="宋体" w:hAnsi="宋体"/>
                <w:szCs w:val="21"/>
              </w:rPr>
              <w:instrText xml:space="preserve"> = 2 \* GB3 \* MERGEFORMAT </w:instrText>
            </w:r>
            <w:r>
              <w:rPr>
                <w:rFonts w:hint="eastAsia" w:ascii="宋体" w:hAnsi="宋体"/>
                <w:szCs w:val="21"/>
              </w:rPr>
              <w:fldChar w:fldCharType="separate"/>
            </w:r>
            <w:r>
              <w:rPr>
                <w:rFonts w:hint="eastAsia" w:ascii="宋体" w:hAnsi="宋体"/>
                <w:szCs w:val="21"/>
              </w:rPr>
              <w:t>②</w:t>
            </w:r>
            <w:r>
              <w:rPr>
                <w:rFonts w:hint="eastAsia" w:ascii="宋体" w:hAnsi="宋体"/>
                <w:szCs w:val="21"/>
              </w:rPr>
              <w:fldChar w:fldCharType="end"/>
            </w:r>
            <w:r>
              <w:rPr>
                <w:rFonts w:hint="eastAsia" w:ascii="宋体" w:hAnsi="宋体"/>
                <w:szCs w:val="21"/>
              </w:rPr>
              <w:t>不同材料交接处的基底加强措施.</w:t>
            </w:r>
          </w:p>
          <w:p w14:paraId="5F5FDB6C">
            <w:pPr>
              <w:snapToGrid w:val="0"/>
              <w:spacing w:line="288" w:lineRule="auto"/>
              <w:ind w:firstLine="31" w:firstLineChars="15"/>
              <w:rPr>
                <w:rFonts w:ascii="宋体" w:hAnsi="宋体"/>
                <w:szCs w:val="21"/>
              </w:rPr>
            </w:pPr>
            <w:r>
              <w:rPr>
                <w:rFonts w:hint="eastAsia" w:ascii="宋体" w:hAnsi="宋体"/>
                <w:szCs w:val="21"/>
              </w:rPr>
              <w:t>（2）门窗工程：</w:t>
            </w:r>
            <w:r>
              <w:rPr>
                <w:rFonts w:hint="eastAsia" w:ascii="宋体" w:hAnsi="宋体"/>
                <w:szCs w:val="21"/>
              </w:rPr>
              <w:fldChar w:fldCharType="begin"/>
            </w:r>
            <w:r>
              <w:rPr>
                <w:rFonts w:hint="eastAsia" w:ascii="宋体" w:hAnsi="宋体"/>
                <w:szCs w:val="21"/>
              </w:rPr>
              <w:instrText xml:space="preserve"> = 1 \* GB3 \* MERGEFORMAT </w:instrText>
            </w:r>
            <w:r>
              <w:rPr>
                <w:rFonts w:hint="eastAsia" w:ascii="宋体" w:hAnsi="宋体"/>
                <w:szCs w:val="21"/>
              </w:rPr>
              <w:fldChar w:fldCharType="separate"/>
            </w:r>
            <w:r>
              <w:rPr>
                <w:rFonts w:hint="eastAsia" w:ascii="宋体" w:hAnsi="宋体"/>
                <w:szCs w:val="21"/>
              </w:rPr>
              <w:t>①</w:t>
            </w:r>
            <w:r>
              <w:rPr>
                <w:rFonts w:hint="eastAsia" w:ascii="宋体" w:hAnsi="宋体"/>
                <w:szCs w:val="21"/>
              </w:rPr>
              <w:fldChar w:fldCharType="end"/>
            </w:r>
            <w:r>
              <w:rPr>
                <w:rFonts w:hint="eastAsia" w:ascii="宋体" w:hAnsi="宋体"/>
                <w:szCs w:val="21"/>
              </w:rPr>
              <w:t>预埋件和锚固件；</w:t>
            </w:r>
            <w:r>
              <w:rPr>
                <w:rFonts w:hint="eastAsia" w:ascii="宋体" w:hAnsi="宋体"/>
                <w:szCs w:val="21"/>
              </w:rPr>
              <w:fldChar w:fldCharType="begin"/>
            </w:r>
            <w:r>
              <w:rPr>
                <w:rFonts w:hint="eastAsia" w:ascii="宋体" w:hAnsi="宋体"/>
                <w:szCs w:val="21"/>
              </w:rPr>
              <w:instrText xml:space="preserve"> = 2 \* GB3 \* MERGEFORMAT </w:instrText>
            </w:r>
            <w:r>
              <w:rPr>
                <w:rFonts w:hint="eastAsia" w:ascii="宋体" w:hAnsi="宋体"/>
                <w:szCs w:val="21"/>
              </w:rPr>
              <w:fldChar w:fldCharType="separate"/>
            </w:r>
            <w:r>
              <w:rPr>
                <w:rFonts w:hint="eastAsia" w:ascii="宋体" w:hAnsi="宋体"/>
                <w:szCs w:val="21"/>
              </w:rPr>
              <w:t>②</w:t>
            </w:r>
            <w:r>
              <w:rPr>
                <w:rFonts w:hint="eastAsia" w:ascii="宋体" w:hAnsi="宋体"/>
                <w:szCs w:val="21"/>
              </w:rPr>
              <w:fldChar w:fldCharType="end"/>
            </w:r>
            <w:r>
              <w:rPr>
                <w:rFonts w:hint="eastAsia" w:ascii="宋体" w:hAnsi="宋体"/>
                <w:szCs w:val="21"/>
              </w:rPr>
              <w:t>隐蔽部位的防腐和填嵌材料；</w:t>
            </w:r>
          </w:p>
          <w:p w14:paraId="0F6EFB6B">
            <w:pPr>
              <w:snapToGrid w:val="0"/>
              <w:spacing w:line="288" w:lineRule="auto"/>
              <w:ind w:firstLine="31" w:firstLineChars="15"/>
              <w:rPr>
                <w:rFonts w:ascii="宋体" w:hAnsi="宋体"/>
                <w:szCs w:val="21"/>
              </w:rPr>
            </w:pPr>
            <w:r>
              <w:rPr>
                <w:rFonts w:hint="eastAsia" w:ascii="宋体" w:hAnsi="宋体"/>
                <w:szCs w:val="21"/>
              </w:rPr>
              <w:t>（3）吊顶工程：</w:t>
            </w:r>
            <w:r>
              <w:rPr>
                <w:rFonts w:hint="eastAsia" w:ascii="宋体" w:hAnsi="宋体"/>
                <w:szCs w:val="21"/>
              </w:rPr>
              <w:fldChar w:fldCharType="begin"/>
            </w:r>
            <w:r>
              <w:rPr>
                <w:rFonts w:hint="eastAsia" w:ascii="宋体" w:hAnsi="宋体"/>
                <w:szCs w:val="21"/>
              </w:rPr>
              <w:instrText xml:space="preserve"> = 1 \* GB3 \* MERGEFORMAT </w:instrText>
            </w:r>
            <w:r>
              <w:rPr>
                <w:rFonts w:hint="eastAsia" w:ascii="宋体" w:hAnsi="宋体"/>
                <w:szCs w:val="21"/>
              </w:rPr>
              <w:fldChar w:fldCharType="separate"/>
            </w:r>
            <w:r>
              <w:rPr>
                <w:rFonts w:hint="eastAsia" w:ascii="宋体" w:hAnsi="宋体"/>
                <w:szCs w:val="21"/>
              </w:rPr>
              <w:t>①</w:t>
            </w:r>
            <w:r>
              <w:rPr>
                <w:rFonts w:hint="eastAsia" w:ascii="宋体" w:hAnsi="宋体"/>
                <w:szCs w:val="21"/>
              </w:rPr>
              <w:fldChar w:fldCharType="end"/>
            </w:r>
            <w:r>
              <w:rPr>
                <w:rFonts w:hint="eastAsia" w:ascii="宋体" w:hAnsi="宋体"/>
                <w:szCs w:val="21"/>
              </w:rPr>
              <w:t>吊顶内管道、设备的安装及水管试压、风管严密性检验；</w:t>
            </w:r>
            <w:r>
              <w:rPr>
                <w:rFonts w:hint="eastAsia" w:ascii="宋体" w:hAnsi="宋体"/>
                <w:szCs w:val="21"/>
              </w:rPr>
              <w:fldChar w:fldCharType="begin"/>
            </w:r>
            <w:r>
              <w:rPr>
                <w:rFonts w:hint="eastAsia" w:ascii="宋体" w:hAnsi="宋体"/>
                <w:szCs w:val="21"/>
              </w:rPr>
              <w:instrText xml:space="preserve"> = 2 \* GB3 \* MERGEFORMAT </w:instrText>
            </w:r>
            <w:r>
              <w:rPr>
                <w:rFonts w:hint="eastAsia" w:ascii="宋体" w:hAnsi="宋体"/>
                <w:szCs w:val="21"/>
              </w:rPr>
              <w:fldChar w:fldCharType="separate"/>
            </w:r>
            <w:r>
              <w:rPr>
                <w:rFonts w:hint="eastAsia" w:ascii="宋体" w:hAnsi="宋体"/>
                <w:szCs w:val="21"/>
              </w:rPr>
              <w:t>②</w:t>
            </w:r>
            <w:r>
              <w:rPr>
                <w:rFonts w:hint="eastAsia" w:ascii="宋体" w:hAnsi="宋体"/>
                <w:szCs w:val="21"/>
              </w:rPr>
              <w:fldChar w:fldCharType="end"/>
            </w:r>
            <w:r>
              <w:rPr>
                <w:rFonts w:hint="eastAsia" w:ascii="宋体" w:hAnsi="宋体"/>
                <w:szCs w:val="21"/>
              </w:rPr>
              <w:t>木龙骨防火、防腐处理；</w:t>
            </w:r>
            <w:r>
              <w:rPr>
                <w:rFonts w:hint="eastAsia" w:ascii="宋体" w:hAnsi="宋体"/>
                <w:szCs w:val="21"/>
              </w:rPr>
              <w:fldChar w:fldCharType="begin"/>
            </w:r>
            <w:r>
              <w:rPr>
                <w:rFonts w:hint="eastAsia" w:ascii="宋体" w:hAnsi="宋体"/>
                <w:szCs w:val="21"/>
              </w:rPr>
              <w:instrText xml:space="preserve"> = 3 \* GB3 </w:instrText>
            </w:r>
            <w:r>
              <w:rPr>
                <w:rFonts w:hint="eastAsia" w:ascii="宋体" w:hAnsi="宋体"/>
                <w:szCs w:val="21"/>
              </w:rPr>
              <w:fldChar w:fldCharType="separate"/>
            </w:r>
            <w:r>
              <w:rPr>
                <w:rFonts w:hint="eastAsia" w:ascii="宋体" w:hAnsi="宋体"/>
                <w:szCs w:val="21"/>
              </w:rPr>
              <w:t>③</w:t>
            </w:r>
            <w:r>
              <w:rPr>
                <w:rFonts w:hint="eastAsia" w:ascii="宋体" w:hAnsi="宋体"/>
                <w:szCs w:val="21"/>
              </w:rPr>
              <w:fldChar w:fldCharType="end"/>
            </w:r>
            <w:r>
              <w:rPr>
                <w:rFonts w:hint="eastAsia" w:ascii="宋体" w:hAnsi="宋体"/>
                <w:szCs w:val="21"/>
              </w:rPr>
              <w:t>埋件；</w:t>
            </w:r>
            <w:r>
              <w:rPr>
                <w:rFonts w:hint="eastAsia" w:ascii="宋体" w:hAnsi="宋体"/>
                <w:szCs w:val="21"/>
              </w:rPr>
              <w:fldChar w:fldCharType="begin"/>
            </w:r>
            <w:r>
              <w:rPr>
                <w:rFonts w:hint="eastAsia" w:ascii="宋体" w:hAnsi="宋体"/>
                <w:szCs w:val="21"/>
              </w:rPr>
              <w:instrText xml:space="preserve"> = 4 \* GB3 </w:instrText>
            </w:r>
            <w:r>
              <w:rPr>
                <w:rFonts w:hint="eastAsia" w:ascii="宋体" w:hAnsi="宋体"/>
                <w:szCs w:val="21"/>
              </w:rPr>
              <w:fldChar w:fldCharType="separate"/>
            </w:r>
            <w:r>
              <w:rPr>
                <w:rFonts w:hint="eastAsia" w:ascii="宋体" w:hAnsi="宋体"/>
                <w:szCs w:val="21"/>
              </w:rPr>
              <w:t>④</w:t>
            </w:r>
            <w:r>
              <w:rPr>
                <w:rFonts w:hint="eastAsia" w:ascii="宋体" w:hAnsi="宋体"/>
                <w:szCs w:val="21"/>
              </w:rPr>
              <w:fldChar w:fldCharType="end"/>
            </w:r>
            <w:r>
              <w:rPr>
                <w:rFonts w:hint="eastAsia" w:ascii="宋体" w:hAnsi="宋体"/>
                <w:szCs w:val="21"/>
              </w:rPr>
              <w:t>吊杆安装；</w:t>
            </w:r>
            <w:r>
              <w:rPr>
                <w:rFonts w:hint="eastAsia" w:ascii="宋体" w:hAnsi="宋体"/>
                <w:szCs w:val="21"/>
              </w:rPr>
              <w:fldChar w:fldCharType="begin"/>
            </w:r>
            <w:r>
              <w:rPr>
                <w:rFonts w:hint="eastAsia" w:ascii="宋体" w:hAnsi="宋体"/>
                <w:szCs w:val="21"/>
              </w:rPr>
              <w:instrText xml:space="preserve"> = 5 \* GB3 </w:instrText>
            </w:r>
            <w:r>
              <w:rPr>
                <w:rFonts w:hint="eastAsia" w:ascii="宋体" w:hAnsi="宋体"/>
                <w:szCs w:val="21"/>
              </w:rPr>
              <w:fldChar w:fldCharType="separate"/>
            </w:r>
            <w:r>
              <w:rPr>
                <w:rFonts w:hint="eastAsia" w:ascii="宋体" w:hAnsi="宋体"/>
                <w:szCs w:val="21"/>
              </w:rPr>
              <w:t>⑤</w:t>
            </w:r>
            <w:r>
              <w:rPr>
                <w:rFonts w:hint="eastAsia" w:ascii="宋体" w:hAnsi="宋体"/>
                <w:szCs w:val="21"/>
              </w:rPr>
              <w:fldChar w:fldCharType="end"/>
            </w:r>
            <w:r>
              <w:rPr>
                <w:rFonts w:hint="eastAsia" w:ascii="宋体" w:hAnsi="宋体"/>
                <w:szCs w:val="21"/>
              </w:rPr>
              <w:t>龙骨安装；</w:t>
            </w:r>
            <w:r>
              <w:rPr>
                <w:rFonts w:hint="eastAsia" w:ascii="宋体" w:hAnsi="宋体"/>
                <w:szCs w:val="21"/>
              </w:rPr>
              <w:fldChar w:fldCharType="begin"/>
            </w:r>
            <w:r>
              <w:rPr>
                <w:rFonts w:hint="eastAsia" w:ascii="宋体" w:hAnsi="宋体"/>
                <w:szCs w:val="21"/>
              </w:rPr>
              <w:instrText xml:space="preserve"> = 6 \* GB3 </w:instrText>
            </w:r>
            <w:r>
              <w:rPr>
                <w:rFonts w:hint="eastAsia" w:ascii="宋体" w:hAnsi="宋体"/>
                <w:szCs w:val="21"/>
              </w:rPr>
              <w:fldChar w:fldCharType="separate"/>
            </w:r>
            <w:r>
              <w:rPr>
                <w:rFonts w:hint="eastAsia" w:ascii="宋体" w:hAnsi="宋体"/>
                <w:szCs w:val="21"/>
              </w:rPr>
              <w:t>⑥</w:t>
            </w:r>
            <w:r>
              <w:rPr>
                <w:rFonts w:hint="eastAsia" w:ascii="宋体" w:hAnsi="宋体"/>
                <w:szCs w:val="21"/>
              </w:rPr>
              <w:fldChar w:fldCharType="end"/>
            </w:r>
            <w:r>
              <w:rPr>
                <w:rFonts w:hint="eastAsia" w:ascii="宋体" w:hAnsi="宋体"/>
                <w:szCs w:val="21"/>
              </w:rPr>
              <w:t>填充材料的设置；</w:t>
            </w:r>
            <w:r>
              <w:rPr>
                <w:rFonts w:hint="eastAsia" w:ascii="宋体" w:hAnsi="宋体"/>
                <w:szCs w:val="21"/>
              </w:rPr>
              <w:fldChar w:fldCharType="begin"/>
            </w:r>
            <w:r>
              <w:rPr>
                <w:rFonts w:hint="eastAsia" w:ascii="宋体" w:hAnsi="宋体"/>
                <w:szCs w:val="21"/>
              </w:rPr>
              <w:instrText xml:space="preserve"> = 7 \* GB3 </w:instrText>
            </w:r>
            <w:r>
              <w:rPr>
                <w:rFonts w:hint="eastAsia" w:ascii="宋体" w:hAnsi="宋体"/>
                <w:szCs w:val="21"/>
              </w:rPr>
              <w:fldChar w:fldCharType="separate"/>
            </w:r>
            <w:r>
              <w:rPr>
                <w:rFonts w:hint="eastAsia" w:ascii="宋体" w:hAnsi="宋体"/>
                <w:szCs w:val="21"/>
              </w:rPr>
              <w:t>⑦</w:t>
            </w:r>
            <w:r>
              <w:rPr>
                <w:rFonts w:hint="eastAsia" w:ascii="宋体" w:hAnsi="宋体"/>
                <w:szCs w:val="21"/>
              </w:rPr>
              <w:fldChar w:fldCharType="end"/>
            </w:r>
            <w:r>
              <w:rPr>
                <w:rFonts w:hint="eastAsia" w:ascii="宋体" w:hAnsi="宋体"/>
                <w:szCs w:val="21"/>
              </w:rPr>
              <w:t>反支撑及钢结构转换层。</w:t>
            </w:r>
          </w:p>
          <w:p w14:paraId="4789F3E2">
            <w:pPr>
              <w:snapToGrid w:val="0"/>
              <w:spacing w:line="288" w:lineRule="auto"/>
              <w:ind w:firstLine="31" w:firstLineChars="15"/>
              <w:rPr>
                <w:rFonts w:ascii="宋体" w:hAnsi="宋体"/>
                <w:szCs w:val="21"/>
              </w:rPr>
            </w:pPr>
            <w:r>
              <w:rPr>
                <w:rFonts w:hint="eastAsia" w:ascii="宋体" w:hAnsi="宋体"/>
                <w:szCs w:val="21"/>
              </w:rPr>
              <w:t>（4）轻质隔墙工程：</w:t>
            </w:r>
            <w:r>
              <w:rPr>
                <w:rFonts w:hint="eastAsia" w:ascii="宋体" w:hAnsi="宋体"/>
                <w:szCs w:val="21"/>
              </w:rPr>
              <w:fldChar w:fldCharType="begin"/>
            </w:r>
            <w:r>
              <w:rPr>
                <w:rFonts w:hint="eastAsia" w:ascii="宋体" w:hAnsi="宋体"/>
                <w:szCs w:val="21"/>
              </w:rPr>
              <w:instrText xml:space="preserve"> = 1 \* GB3 \* MERGEFORMAT </w:instrText>
            </w:r>
            <w:r>
              <w:rPr>
                <w:rFonts w:hint="eastAsia" w:ascii="宋体" w:hAnsi="宋体"/>
                <w:szCs w:val="21"/>
              </w:rPr>
              <w:fldChar w:fldCharType="separate"/>
            </w:r>
            <w:r>
              <w:rPr>
                <w:rFonts w:hint="eastAsia" w:ascii="宋体" w:hAnsi="宋体"/>
                <w:szCs w:val="21"/>
              </w:rPr>
              <w:t>①</w:t>
            </w:r>
            <w:r>
              <w:rPr>
                <w:rFonts w:hint="eastAsia" w:ascii="宋体" w:hAnsi="宋体"/>
                <w:szCs w:val="21"/>
              </w:rPr>
              <w:fldChar w:fldCharType="end"/>
            </w:r>
            <w:r>
              <w:rPr>
                <w:rFonts w:hint="eastAsia" w:ascii="宋体" w:hAnsi="宋体"/>
                <w:szCs w:val="21"/>
              </w:rPr>
              <w:t>骨架隔墙中设备管线的安装及水管试压；</w:t>
            </w:r>
            <w:r>
              <w:rPr>
                <w:rFonts w:hint="eastAsia" w:ascii="宋体" w:hAnsi="宋体"/>
                <w:szCs w:val="21"/>
              </w:rPr>
              <w:fldChar w:fldCharType="begin"/>
            </w:r>
            <w:r>
              <w:rPr>
                <w:rFonts w:hint="eastAsia" w:ascii="宋体" w:hAnsi="宋体"/>
                <w:szCs w:val="21"/>
              </w:rPr>
              <w:instrText xml:space="preserve"> = 2 \* GB3 \* MERGEFORMAT </w:instrText>
            </w:r>
            <w:r>
              <w:rPr>
                <w:rFonts w:hint="eastAsia" w:ascii="宋体" w:hAnsi="宋体"/>
                <w:szCs w:val="21"/>
              </w:rPr>
              <w:fldChar w:fldCharType="separate"/>
            </w:r>
            <w:r>
              <w:rPr>
                <w:rFonts w:hint="eastAsia" w:ascii="宋体" w:hAnsi="宋体"/>
                <w:szCs w:val="21"/>
              </w:rPr>
              <w:t>②</w:t>
            </w:r>
            <w:r>
              <w:rPr>
                <w:rFonts w:hint="eastAsia" w:ascii="宋体" w:hAnsi="宋体"/>
                <w:szCs w:val="21"/>
              </w:rPr>
              <w:fldChar w:fldCharType="end"/>
            </w:r>
            <w:r>
              <w:rPr>
                <w:rFonts w:hint="eastAsia" w:ascii="宋体" w:hAnsi="宋体"/>
                <w:szCs w:val="21"/>
              </w:rPr>
              <w:t>木龙骨防火和防腐处理；</w:t>
            </w:r>
            <w:r>
              <w:rPr>
                <w:rFonts w:hint="eastAsia" w:ascii="宋体" w:hAnsi="宋体"/>
                <w:szCs w:val="21"/>
              </w:rPr>
              <w:fldChar w:fldCharType="begin"/>
            </w:r>
            <w:r>
              <w:rPr>
                <w:rFonts w:hint="eastAsia" w:ascii="宋体" w:hAnsi="宋体"/>
                <w:szCs w:val="21"/>
              </w:rPr>
              <w:instrText xml:space="preserve"> = 3 \* GB3 </w:instrText>
            </w:r>
            <w:r>
              <w:rPr>
                <w:rFonts w:hint="eastAsia" w:ascii="宋体" w:hAnsi="宋体"/>
                <w:szCs w:val="21"/>
              </w:rPr>
              <w:fldChar w:fldCharType="separate"/>
            </w:r>
            <w:r>
              <w:rPr>
                <w:rFonts w:hint="eastAsia" w:ascii="宋体" w:hAnsi="宋体"/>
                <w:szCs w:val="21"/>
              </w:rPr>
              <w:t>③</w:t>
            </w:r>
            <w:r>
              <w:rPr>
                <w:rFonts w:hint="eastAsia" w:ascii="宋体" w:hAnsi="宋体"/>
                <w:szCs w:val="21"/>
              </w:rPr>
              <w:fldChar w:fldCharType="end"/>
            </w:r>
            <w:r>
              <w:rPr>
                <w:rFonts w:hint="eastAsia" w:ascii="宋体" w:hAnsi="宋体"/>
                <w:szCs w:val="21"/>
              </w:rPr>
              <w:t>预埋件或拉结筋；</w:t>
            </w:r>
            <w:r>
              <w:rPr>
                <w:rFonts w:hint="eastAsia" w:ascii="宋体" w:hAnsi="宋体"/>
                <w:szCs w:val="21"/>
              </w:rPr>
              <w:fldChar w:fldCharType="begin"/>
            </w:r>
            <w:r>
              <w:rPr>
                <w:rFonts w:hint="eastAsia" w:ascii="宋体" w:hAnsi="宋体"/>
                <w:szCs w:val="21"/>
              </w:rPr>
              <w:instrText xml:space="preserve"> = 4 \* GB3 </w:instrText>
            </w:r>
            <w:r>
              <w:rPr>
                <w:rFonts w:hint="eastAsia" w:ascii="宋体" w:hAnsi="宋体"/>
                <w:szCs w:val="21"/>
              </w:rPr>
              <w:fldChar w:fldCharType="separate"/>
            </w:r>
            <w:r>
              <w:rPr>
                <w:rFonts w:hint="eastAsia" w:ascii="宋体" w:hAnsi="宋体"/>
                <w:szCs w:val="21"/>
              </w:rPr>
              <w:t>④</w:t>
            </w:r>
            <w:r>
              <w:rPr>
                <w:rFonts w:hint="eastAsia" w:ascii="宋体" w:hAnsi="宋体"/>
                <w:szCs w:val="21"/>
              </w:rPr>
              <w:fldChar w:fldCharType="end"/>
            </w:r>
            <w:r>
              <w:rPr>
                <w:rFonts w:hint="eastAsia" w:ascii="宋体" w:hAnsi="宋体"/>
                <w:szCs w:val="21"/>
              </w:rPr>
              <w:t>龙骨安装；</w:t>
            </w:r>
            <w:r>
              <w:rPr>
                <w:rFonts w:hint="eastAsia" w:ascii="宋体" w:hAnsi="宋体"/>
                <w:szCs w:val="21"/>
              </w:rPr>
              <w:fldChar w:fldCharType="begin"/>
            </w:r>
            <w:r>
              <w:rPr>
                <w:rFonts w:hint="eastAsia" w:ascii="宋体" w:hAnsi="宋体"/>
                <w:szCs w:val="21"/>
              </w:rPr>
              <w:instrText xml:space="preserve"> = 5 \* GB3 </w:instrText>
            </w:r>
            <w:r>
              <w:rPr>
                <w:rFonts w:hint="eastAsia" w:ascii="宋体" w:hAnsi="宋体"/>
                <w:szCs w:val="21"/>
              </w:rPr>
              <w:fldChar w:fldCharType="separate"/>
            </w:r>
            <w:r>
              <w:rPr>
                <w:rFonts w:hint="eastAsia" w:ascii="宋体" w:hAnsi="宋体"/>
                <w:szCs w:val="21"/>
              </w:rPr>
              <w:t>⑤</w:t>
            </w:r>
            <w:r>
              <w:rPr>
                <w:rFonts w:hint="eastAsia" w:ascii="宋体" w:hAnsi="宋体"/>
                <w:szCs w:val="21"/>
              </w:rPr>
              <w:fldChar w:fldCharType="end"/>
            </w:r>
            <w:r>
              <w:rPr>
                <w:rFonts w:hint="eastAsia" w:ascii="宋体" w:hAnsi="宋体"/>
                <w:szCs w:val="21"/>
              </w:rPr>
              <w:t>填充材料的设置。</w:t>
            </w:r>
          </w:p>
          <w:p w14:paraId="4397A395">
            <w:pPr>
              <w:snapToGrid w:val="0"/>
              <w:spacing w:line="288" w:lineRule="auto"/>
              <w:ind w:firstLine="31" w:firstLineChars="15"/>
              <w:rPr>
                <w:rFonts w:ascii="宋体" w:hAnsi="宋体"/>
                <w:szCs w:val="21"/>
              </w:rPr>
            </w:pPr>
            <w:r>
              <w:rPr>
                <w:rFonts w:hint="eastAsia" w:ascii="宋体" w:hAnsi="宋体"/>
                <w:szCs w:val="21"/>
              </w:rPr>
              <w:t>（5）饰面板工程：</w:t>
            </w:r>
            <w:r>
              <w:rPr>
                <w:rFonts w:hint="eastAsia" w:ascii="宋体" w:hAnsi="宋体"/>
                <w:szCs w:val="21"/>
              </w:rPr>
              <w:fldChar w:fldCharType="begin"/>
            </w:r>
            <w:r>
              <w:rPr>
                <w:rFonts w:hint="eastAsia" w:ascii="宋体" w:hAnsi="宋体"/>
                <w:szCs w:val="21"/>
              </w:rPr>
              <w:instrText xml:space="preserve"> = 1 \* GB3 \* MERGEFORMAT </w:instrText>
            </w:r>
            <w:r>
              <w:rPr>
                <w:rFonts w:hint="eastAsia" w:ascii="宋体" w:hAnsi="宋体"/>
                <w:szCs w:val="21"/>
              </w:rPr>
              <w:fldChar w:fldCharType="separate"/>
            </w:r>
            <w:r>
              <w:rPr>
                <w:rFonts w:hint="eastAsia" w:ascii="宋体" w:hAnsi="宋体"/>
                <w:szCs w:val="21"/>
              </w:rPr>
              <w:t>①</w:t>
            </w:r>
            <w:r>
              <w:rPr>
                <w:rFonts w:hint="eastAsia" w:ascii="宋体" w:hAnsi="宋体"/>
                <w:szCs w:val="21"/>
              </w:rPr>
              <w:fldChar w:fldCharType="end"/>
            </w:r>
            <w:r>
              <w:rPr>
                <w:rFonts w:hint="eastAsia" w:ascii="宋体" w:hAnsi="宋体"/>
                <w:szCs w:val="21"/>
              </w:rPr>
              <w:t>预埋件（或后置埋件）；</w:t>
            </w:r>
            <w:r>
              <w:rPr>
                <w:rFonts w:hint="eastAsia" w:ascii="宋体" w:hAnsi="宋体"/>
                <w:szCs w:val="21"/>
              </w:rPr>
              <w:fldChar w:fldCharType="begin"/>
            </w:r>
            <w:r>
              <w:rPr>
                <w:rFonts w:hint="eastAsia" w:ascii="宋体" w:hAnsi="宋体"/>
                <w:szCs w:val="21"/>
              </w:rPr>
              <w:instrText xml:space="preserve"> = 2 \* GB3 \* MERGEFORMAT </w:instrText>
            </w:r>
            <w:r>
              <w:rPr>
                <w:rFonts w:hint="eastAsia" w:ascii="宋体" w:hAnsi="宋体"/>
                <w:szCs w:val="21"/>
              </w:rPr>
              <w:fldChar w:fldCharType="separate"/>
            </w:r>
            <w:r>
              <w:rPr>
                <w:rFonts w:hint="eastAsia" w:ascii="宋体" w:hAnsi="宋体"/>
                <w:szCs w:val="21"/>
              </w:rPr>
              <w:t>②</w:t>
            </w:r>
            <w:r>
              <w:rPr>
                <w:rFonts w:hint="eastAsia" w:ascii="宋体" w:hAnsi="宋体"/>
                <w:szCs w:val="21"/>
              </w:rPr>
              <w:fldChar w:fldCharType="end"/>
            </w:r>
            <w:r>
              <w:rPr>
                <w:rFonts w:hint="eastAsia" w:ascii="宋体" w:hAnsi="宋体"/>
                <w:szCs w:val="21"/>
              </w:rPr>
              <w:t>龙骨安装；</w:t>
            </w:r>
            <w:r>
              <w:rPr>
                <w:rFonts w:hint="eastAsia" w:ascii="宋体" w:hAnsi="宋体"/>
                <w:szCs w:val="21"/>
              </w:rPr>
              <w:fldChar w:fldCharType="begin"/>
            </w:r>
            <w:r>
              <w:rPr>
                <w:rFonts w:hint="eastAsia" w:ascii="宋体" w:hAnsi="宋体"/>
                <w:szCs w:val="21"/>
              </w:rPr>
              <w:instrText xml:space="preserve"> = 3 \* GB3 </w:instrText>
            </w:r>
            <w:r>
              <w:rPr>
                <w:rFonts w:hint="eastAsia" w:ascii="宋体" w:hAnsi="宋体"/>
                <w:szCs w:val="21"/>
              </w:rPr>
              <w:fldChar w:fldCharType="separate"/>
            </w:r>
            <w:r>
              <w:rPr>
                <w:rFonts w:hint="eastAsia" w:ascii="宋体" w:hAnsi="宋体"/>
                <w:szCs w:val="21"/>
              </w:rPr>
              <w:t>③</w:t>
            </w:r>
            <w:r>
              <w:rPr>
                <w:rFonts w:hint="eastAsia" w:ascii="宋体" w:hAnsi="宋体"/>
                <w:szCs w:val="21"/>
              </w:rPr>
              <w:fldChar w:fldCharType="end"/>
            </w:r>
            <w:r>
              <w:rPr>
                <w:rFonts w:hint="eastAsia" w:ascii="宋体" w:hAnsi="宋体"/>
                <w:szCs w:val="21"/>
              </w:rPr>
              <w:t>连接节点。</w:t>
            </w:r>
          </w:p>
          <w:p w14:paraId="27102493">
            <w:pPr>
              <w:snapToGrid w:val="0"/>
              <w:spacing w:line="288" w:lineRule="auto"/>
              <w:ind w:firstLine="31" w:firstLineChars="15"/>
              <w:rPr>
                <w:rFonts w:ascii="宋体" w:hAnsi="宋体"/>
                <w:szCs w:val="21"/>
              </w:rPr>
            </w:pPr>
            <w:r>
              <w:rPr>
                <w:rFonts w:hint="eastAsia" w:ascii="宋体" w:hAnsi="宋体"/>
                <w:szCs w:val="21"/>
              </w:rPr>
              <w:t>（6）饰面砖工程：</w:t>
            </w:r>
            <w:r>
              <w:rPr>
                <w:rFonts w:hint="eastAsia" w:ascii="宋体" w:hAnsi="宋体"/>
                <w:szCs w:val="21"/>
              </w:rPr>
              <w:fldChar w:fldCharType="begin"/>
            </w:r>
            <w:r>
              <w:rPr>
                <w:rFonts w:hint="eastAsia" w:ascii="宋体" w:hAnsi="宋体"/>
                <w:szCs w:val="21"/>
              </w:rPr>
              <w:instrText xml:space="preserve"> = 1 \* GB3 \* MERGEFORMAT </w:instrText>
            </w:r>
            <w:r>
              <w:rPr>
                <w:rFonts w:hint="eastAsia" w:ascii="宋体" w:hAnsi="宋体"/>
                <w:szCs w:val="21"/>
              </w:rPr>
              <w:fldChar w:fldCharType="separate"/>
            </w:r>
            <w:r>
              <w:rPr>
                <w:rFonts w:hint="eastAsia" w:ascii="宋体" w:hAnsi="宋体"/>
                <w:szCs w:val="21"/>
              </w:rPr>
              <w:t>①</w:t>
            </w:r>
            <w:r>
              <w:rPr>
                <w:rFonts w:hint="eastAsia" w:ascii="宋体" w:hAnsi="宋体"/>
                <w:szCs w:val="21"/>
              </w:rPr>
              <w:fldChar w:fldCharType="end"/>
            </w:r>
            <w:r>
              <w:rPr>
                <w:rFonts w:hint="eastAsia" w:ascii="宋体" w:hAnsi="宋体"/>
                <w:szCs w:val="21"/>
              </w:rPr>
              <w:t>基层和基体；</w:t>
            </w:r>
            <w:r>
              <w:rPr>
                <w:rFonts w:hint="eastAsia" w:ascii="宋体" w:hAnsi="宋体"/>
                <w:szCs w:val="21"/>
              </w:rPr>
              <w:fldChar w:fldCharType="begin"/>
            </w:r>
            <w:r>
              <w:rPr>
                <w:rFonts w:hint="eastAsia" w:ascii="宋体" w:hAnsi="宋体"/>
                <w:szCs w:val="21"/>
              </w:rPr>
              <w:instrText xml:space="preserve"> = 2 \* GB3 \* MERGEFORMAT </w:instrText>
            </w:r>
            <w:r>
              <w:rPr>
                <w:rFonts w:hint="eastAsia" w:ascii="宋体" w:hAnsi="宋体"/>
                <w:szCs w:val="21"/>
              </w:rPr>
              <w:fldChar w:fldCharType="separate"/>
            </w:r>
            <w:r>
              <w:rPr>
                <w:rFonts w:hint="eastAsia" w:ascii="宋体" w:hAnsi="宋体"/>
                <w:szCs w:val="21"/>
              </w:rPr>
              <w:t>②</w:t>
            </w:r>
            <w:r>
              <w:rPr>
                <w:rFonts w:hint="eastAsia" w:ascii="宋体" w:hAnsi="宋体"/>
                <w:szCs w:val="21"/>
              </w:rPr>
              <w:fldChar w:fldCharType="end"/>
            </w:r>
            <w:r>
              <w:rPr>
                <w:rFonts w:hint="eastAsia" w:ascii="宋体" w:hAnsi="宋体"/>
                <w:szCs w:val="21"/>
              </w:rPr>
              <w:t>防水层。</w:t>
            </w:r>
          </w:p>
          <w:p w14:paraId="2CFB9774">
            <w:pPr>
              <w:snapToGrid w:val="0"/>
              <w:spacing w:line="288" w:lineRule="auto"/>
              <w:ind w:firstLine="31" w:firstLineChars="15"/>
              <w:rPr>
                <w:rFonts w:ascii="宋体" w:hAnsi="宋体"/>
                <w:szCs w:val="21"/>
              </w:rPr>
            </w:pPr>
            <w:r>
              <w:rPr>
                <w:rFonts w:hint="eastAsia" w:ascii="宋体" w:hAnsi="宋体"/>
                <w:szCs w:val="21"/>
              </w:rPr>
              <w:t>（7）裱糊与软包工程：基层封闭底漆、腻子、封闭底胶、及软包内衬材料。</w:t>
            </w:r>
          </w:p>
          <w:p w14:paraId="56FC7DC8">
            <w:pPr>
              <w:snapToGrid w:val="0"/>
              <w:spacing w:line="288" w:lineRule="auto"/>
              <w:ind w:firstLine="31" w:firstLineChars="15"/>
              <w:rPr>
                <w:rFonts w:ascii="宋体" w:hAnsi="宋体"/>
                <w:szCs w:val="21"/>
              </w:rPr>
            </w:pPr>
            <w:r>
              <w:rPr>
                <w:rFonts w:hint="eastAsia" w:ascii="宋体" w:hAnsi="宋体"/>
                <w:szCs w:val="21"/>
              </w:rPr>
              <w:t>（8）细部工程：</w:t>
            </w:r>
            <w:r>
              <w:rPr>
                <w:rFonts w:hint="eastAsia" w:ascii="宋体" w:hAnsi="宋体"/>
                <w:szCs w:val="21"/>
              </w:rPr>
              <w:fldChar w:fldCharType="begin"/>
            </w:r>
            <w:r>
              <w:rPr>
                <w:rFonts w:hint="eastAsia" w:ascii="宋体" w:hAnsi="宋体"/>
                <w:szCs w:val="21"/>
              </w:rPr>
              <w:instrText xml:space="preserve"> = 1 \* GB3 \* MERGEFORMAT </w:instrText>
            </w:r>
            <w:r>
              <w:rPr>
                <w:rFonts w:hint="eastAsia" w:ascii="宋体" w:hAnsi="宋体"/>
                <w:szCs w:val="21"/>
              </w:rPr>
              <w:fldChar w:fldCharType="separate"/>
            </w:r>
            <w:r>
              <w:rPr>
                <w:rFonts w:hint="eastAsia" w:ascii="宋体" w:hAnsi="宋体"/>
                <w:szCs w:val="21"/>
              </w:rPr>
              <w:t>①</w:t>
            </w:r>
            <w:r>
              <w:rPr>
                <w:rFonts w:hint="eastAsia" w:ascii="宋体" w:hAnsi="宋体"/>
                <w:szCs w:val="21"/>
              </w:rPr>
              <w:fldChar w:fldCharType="end"/>
            </w:r>
            <w:r>
              <w:rPr>
                <w:rFonts w:hint="eastAsia" w:ascii="宋体" w:hAnsi="宋体"/>
                <w:szCs w:val="21"/>
              </w:rPr>
              <w:t>预埋件（或后置埋件）；</w:t>
            </w:r>
            <w:r>
              <w:rPr>
                <w:rFonts w:hint="eastAsia" w:ascii="宋体" w:hAnsi="宋体"/>
                <w:szCs w:val="21"/>
              </w:rPr>
              <w:fldChar w:fldCharType="begin"/>
            </w:r>
            <w:r>
              <w:rPr>
                <w:rFonts w:hint="eastAsia" w:ascii="宋体" w:hAnsi="宋体"/>
                <w:szCs w:val="21"/>
              </w:rPr>
              <w:instrText xml:space="preserve"> = 2 \* GB3 \* MERGEFORMAT </w:instrText>
            </w:r>
            <w:r>
              <w:rPr>
                <w:rFonts w:hint="eastAsia" w:ascii="宋体" w:hAnsi="宋体"/>
                <w:szCs w:val="21"/>
              </w:rPr>
              <w:fldChar w:fldCharType="separate"/>
            </w:r>
            <w:r>
              <w:rPr>
                <w:rFonts w:hint="eastAsia" w:ascii="宋体" w:hAnsi="宋体"/>
                <w:szCs w:val="21"/>
              </w:rPr>
              <w:t>②</w:t>
            </w:r>
            <w:r>
              <w:rPr>
                <w:rFonts w:hint="eastAsia" w:ascii="宋体" w:hAnsi="宋体"/>
                <w:szCs w:val="21"/>
              </w:rPr>
              <w:fldChar w:fldCharType="end"/>
            </w:r>
            <w:r>
              <w:rPr>
                <w:rFonts w:hint="eastAsia" w:ascii="宋体" w:hAnsi="宋体"/>
                <w:szCs w:val="21"/>
              </w:rPr>
              <w:t>护栏与预埋件的连接节点。</w:t>
            </w:r>
          </w:p>
          <w:p w14:paraId="36214E39">
            <w:pPr>
              <w:snapToGrid w:val="0"/>
              <w:spacing w:line="288" w:lineRule="auto"/>
              <w:ind w:firstLine="31" w:firstLineChars="15"/>
              <w:rPr>
                <w:rFonts w:ascii="宋体" w:hAnsi="宋体"/>
                <w:szCs w:val="21"/>
              </w:rPr>
            </w:pPr>
            <w:r>
              <w:rPr>
                <w:rFonts w:hint="eastAsia" w:ascii="宋体" w:hAnsi="宋体"/>
                <w:szCs w:val="21"/>
              </w:rPr>
              <w:t>（9）防水工程：</w:t>
            </w:r>
            <w:r>
              <w:rPr>
                <w:rFonts w:hint="eastAsia" w:ascii="宋体" w:hAnsi="宋体"/>
                <w:szCs w:val="21"/>
              </w:rPr>
              <w:fldChar w:fldCharType="begin"/>
            </w:r>
            <w:r>
              <w:rPr>
                <w:rFonts w:hint="eastAsia" w:ascii="宋体" w:hAnsi="宋体"/>
                <w:szCs w:val="21"/>
              </w:rPr>
              <w:instrText xml:space="preserve"> = 1 \* GB3 \* MERGEFORMAT </w:instrText>
            </w:r>
            <w:r>
              <w:rPr>
                <w:rFonts w:hint="eastAsia" w:ascii="宋体" w:hAnsi="宋体"/>
                <w:szCs w:val="21"/>
              </w:rPr>
              <w:fldChar w:fldCharType="separate"/>
            </w:r>
            <w:r>
              <w:rPr>
                <w:rFonts w:hint="eastAsia" w:ascii="宋体" w:hAnsi="宋体"/>
                <w:szCs w:val="21"/>
              </w:rPr>
              <w:t>①</w:t>
            </w:r>
            <w:r>
              <w:rPr>
                <w:rFonts w:hint="eastAsia" w:ascii="宋体" w:hAnsi="宋体"/>
                <w:szCs w:val="21"/>
              </w:rPr>
              <w:fldChar w:fldCharType="end"/>
            </w:r>
            <w:r>
              <w:rPr>
                <w:rFonts w:hint="eastAsia" w:ascii="宋体" w:hAnsi="宋体"/>
                <w:szCs w:val="21"/>
              </w:rPr>
              <w:t>立管、套管和地漏与楼板节点的加强措施；</w:t>
            </w:r>
            <w:r>
              <w:rPr>
                <w:rFonts w:hint="eastAsia" w:ascii="宋体" w:hAnsi="宋体"/>
                <w:szCs w:val="21"/>
              </w:rPr>
              <w:fldChar w:fldCharType="begin"/>
            </w:r>
            <w:r>
              <w:rPr>
                <w:rFonts w:hint="eastAsia" w:ascii="宋体" w:hAnsi="宋体"/>
                <w:szCs w:val="21"/>
              </w:rPr>
              <w:instrText xml:space="preserve"> = 2 \* GB3 \* MERGEFORMAT </w:instrText>
            </w:r>
            <w:r>
              <w:rPr>
                <w:rFonts w:hint="eastAsia" w:ascii="宋体" w:hAnsi="宋体"/>
                <w:szCs w:val="21"/>
              </w:rPr>
              <w:fldChar w:fldCharType="separate"/>
            </w:r>
            <w:r>
              <w:rPr>
                <w:rFonts w:hint="eastAsia" w:ascii="宋体" w:hAnsi="宋体"/>
                <w:szCs w:val="21"/>
              </w:rPr>
              <w:t>②</w:t>
            </w:r>
            <w:r>
              <w:rPr>
                <w:rFonts w:hint="eastAsia" w:ascii="宋体" w:hAnsi="宋体"/>
                <w:szCs w:val="21"/>
              </w:rPr>
              <w:fldChar w:fldCharType="end"/>
            </w:r>
            <w:r>
              <w:rPr>
                <w:rFonts w:hint="eastAsia" w:ascii="宋体" w:hAnsi="宋体"/>
                <w:szCs w:val="21"/>
              </w:rPr>
              <w:t>两次蓄水试验记录。</w:t>
            </w:r>
          </w:p>
          <w:p w14:paraId="732C045F">
            <w:pPr>
              <w:snapToGrid w:val="0"/>
              <w:spacing w:line="288" w:lineRule="auto"/>
              <w:ind w:firstLine="31" w:firstLineChars="15"/>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）给排水工程、电气照明工程、采暖与通风工程相关规范要求的隐蔽工程验收资料。</w:t>
            </w:r>
          </w:p>
          <w:p w14:paraId="3FA687BC">
            <w:pPr>
              <w:snapToGrid w:val="0"/>
              <w:spacing w:line="288" w:lineRule="auto"/>
              <w:ind w:firstLine="31" w:firstLineChars="15"/>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质量验收记录</w:t>
            </w:r>
          </w:p>
          <w:p w14:paraId="51503292">
            <w:pPr>
              <w:snapToGrid w:val="0"/>
              <w:spacing w:line="288" w:lineRule="auto"/>
              <w:ind w:firstLine="31" w:firstLineChars="15"/>
              <w:rPr>
                <w:rFonts w:ascii="宋体" w:hAnsi="宋体"/>
                <w:szCs w:val="21"/>
              </w:rPr>
            </w:pPr>
            <w:r>
              <w:rPr>
                <w:rFonts w:hint="eastAsia" w:ascii="宋体" w:hAnsi="宋体"/>
                <w:szCs w:val="21"/>
              </w:rPr>
              <w:t>（1）检验批验收记录；</w:t>
            </w:r>
          </w:p>
          <w:p w14:paraId="25F384D0">
            <w:pPr>
              <w:snapToGrid w:val="0"/>
              <w:spacing w:line="288" w:lineRule="auto"/>
              <w:ind w:firstLine="31" w:firstLineChars="15"/>
              <w:rPr>
                <w:rFonts w:ascii="宋体" w:hAnsi="宋体"/>
                <w:szCs w:val="21"/>
              </w:rPr>
            </w:pPr>
            <w:r>
              <w:rPr>
                <w:rFonts w:hint="eastAsia" w:ascii="宋体" w:hAnsi="宋体"/>
                <w:szCs w:val="21"/>
              </w:rPr>
              <w:t>（2）分项工程验收记录；</w:t>
            </w:r>
          </w:p>
          <w:p w14:paraId="09CFBFFA">
            <w:pPr>
              <w:snapToGrid w:val="0"/>
              <w:spacing w:line="288" w:lineRule="auto"/>
              <w:ind w:firstLine="31" w:firstLineChars="15"/>
              <w:rPr>
                <w:rFonts w:ascii="宋体" w:hAnsi="宋体"/>
                <w:szCs w:val="21"/>
              </w:rPr>
            </w:pPr>
            <w:r>
              <w:rPr>
                <w:rFonts w:hint="eastAsia" w:ascii="宋体" w:hAnsi="宋体"/>
                <w:szCs w:val="21"/>
              </w:rPr>
              <w:t>（3）分部（子分部）工程验收记录；</w:t>
            </w:r>
          </w:p>
          <w:p w14:paraId="4C83E023">
            <w:pPr>
              <w:snapToGrid w:val="0"/>
              <w:spacing w:line="288" w:lineRule="auto"/>
              <w:ind w:firstLine="31" w:firstLineChars="15"/>
              <w:rPr>
                <w:rFonts w:ascii="宋体" w:hAnsi="宋体"/>
                <w:szCs w:val="21"/>
              </w:rPr>
            </w:pPr>
            <w:r>
              <w:rPr>
                <w:rFonts w:hint="eastAsia" w:ascii="宋体" w:hAnsi="宋体"/>
                <w:szCs w:val="21"/>
              </w:rPr>
              <w:t>（4）分户验收记录。</w:t>
            </w:r>
          </w:p>
          <w:p w14:paraId="64F5F72C">
            <w:pPr>
              <w:snapToGrid w:val="0"/>
              <w:spacing w:line="288" w:lineRule="auto"/>
              <w:ind w:firstLine="31" w:firstLineChars="15"/>
              <w:rPr>
                <w:rFonts w:ascii="宋体" w:hAnsi="宋体"/>
                <w:szCs w:val="21"/>
              </w:rPr>
            </w:pPr>
            <w:r>
              <w:rPr>
                <w:rFonts w:hint="eastAsia" w:ascii="宋体" w:hAnsi="宋体"/>
                <w:szCs w:val="21"/>
              </w:rPr>
              <w:t>8</w:t>
            </w:r>
            <w:r>
              <w:rPr>
                <w:rFonts w:ascii="宋体" w:hAnsi="宋体"/>
                <w:szCs w:val="21"/>
              </w:rPr>
              <w:t>.</w:t>
            </w:r>
            <w:r>
              <w:rPr>
                <w:rFonts w:hint="eastAsia" w:ascii="宋体" w:hAnsi="宋体"/>
                <w:szCs w:val="21"/>
              </w:rPr>
              <w:t>竣工图</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18E80C6E">
            <w:pPr>
              <w:pStyle w:val="6"/>
              <w:snapToGrid w:val="0"/>
              <w:spacing w:line="288" w:lineRule="auto"/>
              <w:ind w:left="6" w:firstLine="0" w:firstLineChars="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每类过程资料缺项或有重大错误的扣3分；</w:t>
            </w:r>
          </w:p>
          <w:p w14:paraId="7AD93A6C">
            <w:pPr>
              <w:pStyle w:val="6"/>
              <w:snapToGrid w:val="0"/>
              <w:spacing w:line="288" w:lineRule="auto"/>
              <w:ind w:left="6" w:firstLine="0" w:firstLineChars="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其它工程资料不符合要求的，每项扣0.5～2分。</w:t>
            </w:r>
          </w:p>
        </w:tc>
        <w:tc>
          <w:tcPr>
            <w:tcW w:w="1701" w:type="dxa"/>
            <w:tcBorders>
              <w:left w:val="single" w:color="auto" w:sz="4" w:space="0"/>
              <w:right w:val="single" w:color="auto" w:sz="4" w:space="0"/>
            </w:tcBorders>
            <w:noWrap w:val="0"/>
            <w:vAlign w:val="center"/>
          </w:tcPr>
          <w:p w14:paraId="7AC51FF5">
            <w:pPr>
              <w:pStyle w:val="6"/>
              <w:snapToGrid w:val="0"/>
              <w:spacing w:line="288" w:lineRule="auto"/>
              <w:ind w:firstLine="0" w:firstLineChars="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工程不涉及某类资料时，不作为该类资料缺项而扣分；</w:t>
            </w:r>
          </w:p>
          <w:p w14:paraId="18E24458">
            <w:pPr>
              <w:pStyle w:val="6"/>
              <w:snapToGrid w:val="0"/>
              <w:spacing w:line="288" w:lineRule="auto"/>
              <w:ind w:firstLine="0" w:firstLineChars="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过程资料缺项、不齐全或不符合要求；</w:t>
            </w:r>
          </w:p>
          <w:p w14:paraId="2205B9B9">
            <w:pPr>
              <w:pStyle w:val="6"/>
              <w:snapToGrid w:val="0"/>
              <w:spacing w:line="288" w:lineRule="auto"/>
              <w:ind w:firstLine="0" w:firstLineChars="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施工组织设计应内容完整、具有针对性，所依据的标准正确、有效，施工方法合理、技术措施得当；编制、审核、审批人员的身份应符合的相关要求，签章应齐全。</w:t>
            </w:r>
          </w:p>
          <w:p w14:paraId="3DD4B719">
            <w:pPr>
              <w:snapToGrid w:val="0"/>
              <w:spacing w:line="288" w:lineRule="auto"/>
              <w:rPr>
                <w:rFonts w:ascii="宋体" w:hAnsi="宋体"/>
                <w:szCs w:val="21"/>
              </w:rPr>
            </w:pPr>
            <w:r>
              <w:rPr>
                <w:rFonts w:ascii="宋体" w:hAnsi="宋体"/>
                <w:szCs w:val="21"/>
              </w:rPr>
              <w:t>4.</w:t>
            </w:r>
            <w:r>
              <w:rPr>
                <w:rFonts w:hint="eastAsia" w:ascii="宋体" w:hAnsi="宋体"/>
                <w:szCs w:val="21"/>
              </w:rPr>
              <w:t>施工技术交底记录应完整，内容要与工程实际施工相吻合；</w:t>
            </w:r>
          </w:p>
          <w:p w14:paraId="57579DB4">
            <w:pPr>
              <w:snapToGrid w:val="0"/>
              <w:spacing w:line="288" w:lineRule="auto"/>
              <w:rPr>
                <w:rFonts w:ascii="宋体" w:hAnsi="宋体"/>
                <w:szCs w:val="21"/>
              </w:rPr>
            </w:pPr>
            <w:r>
              <w:rPr>
                <w:rFonts w:hint="eastAsia" w:ascii="宋体" w:hAnsi="宋体"/>
                <w:szCs w:val="21"/>
              </w:rPr>
              <w:t>交底人、被交底人签字及日期齐全。</w:t>
            </w:r>
          </w:p>
          <w:p w14:paraId="42F7FF33">
            <w:pPr>
              <w:snapToGrid w:val="0"/>
              <w:spacing w:line="288" w:lineRule="auto"/>
              <w:rPr>
                <w:rFonts w:hint="eastAsia" w:ascii="宋体" w:hAnsi="宋体"/>
                <w:szCs w:val="21"/>
              </w:rPr>
            </w:pPr>
            <w:r>
              <w:rPr>
                <w:rFonts w:hint="eastAsia" w:ascii="宋体" w:hAnsi="宋体"/>
                <w:szCs w:val="21"/>
              </w:rPr>
              <w:t>5</w:t>
            </w:r>
            <w:r>
              <w:rPr>
                <w:rFonts w:ascii="宋体" w:hAnsi="宋体"/>
                <w:szCs w:val="21"/>
              </w:rPr>
              <w:t>.</w:t>
            </w:r>
            <w:r>
              <w:rPr>
                <w:rFonts w:hint="eastAsia" w:ascii="宋体" w:hAnsi="宋体"/>
                <w:szCs w:val="21"/>
              </w:rPr>
              <w:t>施工日志所记载的内容应齐全，时间范围应覆盖整个施工周期；所记载的内容应与工程其他资料项吻合，能够相互印证。</w:t>
            </w:r>
          </w:p>
        </w:tc>
        <w:tc>
          <w:tcPr>
            <w:tcW w:w="851" w:type="dxa"/>
            <w:vMerge w:val="continue"/>
            <w:tcBorders>
              <w:left w:val="single" w:color="auto" w:sz="4" w:space="0"/>
              <w:right w:val="single" w:color="auto" w:sz="4" w:space="0"/>
            </w:tcBorders>
            <w:noWrap w:val="0"/>
            <w:vAlign w:val="center"/>
          </w:tcPr>
          <w:p w14:paraId="7DA904ED">
            <w:pPr>
              <w:snapToGrid w:val="0"/>
              <w:spacing w:line="288" w:lineRule="auto"/>
              <w:jc w:val="center"/>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85F84D1">
            <w:pPr>
              <w:snapToGrid w:val="0"/>
              <w:spacing w:line="288" w:lineRule="auto"/>
              <w:rPr>
                <w:rFonts w:ascii="宋体" w:hAnsi="宋体"/>
                <w:szCs w:val="21"/>
              </w:rPr>
            </w:pPr>
            <w:r>
              <w:rPr>
                <w:rFonts w:hint="eastAsia" w:ascii="宋体" w:hAnsi="宋体"/>
                <w:szCs w:val="21"/>
              </w:rPr>
              <w:t>结合工程实体查相关资料</w:t>
            </w:r>
          </w:p>
        </w:tc>
      </w:tr>
      <w:tr w14:paraId="46A5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2" w:hRule="atLeast"/>
        </w:trPr>
        <w:tc>
          <w:tcPr>
            <w:tcW w:w="567" w:type="dxa"/>
            <w:tcBorders>
              <w:left w:val="single" w:color="auto" w:sz="4" w:space="0"/>
              <w:right w:val="single" w:color="auto" w:sz="4" w:space="0"/>
            </w:tcBorders>
            <w:noWrap w:val="0"/>
            <w:vAlign w:val="center"/>
          </w:tcPr>
          <w:p w14:paraId="4E3ED1BA">
            <w:pPr>
              <w:snapToGrid w:val="0"/>
              <w:spacing w:line="288" w:lineRule="auto"/>
              <w:jc w:val="center"/>
              <w:rPr>
                <w:rFonts w:ascii="宋体" w:hAnsi="宋体"/>
                <w:szCs w:val="21"/>
              </w:rPr>
            </w:pPr>
            <w:r>
              <w:rPr>
                <w:rFonts w:hint="eastAsia" w:ascii="宋体" w:hAnsi="宋体"/>
                <w:szCs w:val="21"/>
              </w:rPr>
              <w:t>2</w:t>
            </w:r>
          </w:p>
        </w:tc>
        <w:tc>
          <w:tcPr>
            <w:tcW w:w="1277" w:type="dxa"/>
            <w:tcBorders>
              <w:top w:val="single" w:color="auto" w:sz="4" w:space="0"/>
              <w:left w:val="single" w:color="auto" w:sz="4" w:space="0"/>
              <w:right w:val="single" w:color="auto" w:sz="4" w:space="0"/>
            </w:tcBorders>
            <w:noWrap w:val="0"/>
            <w:vAlign w:val="center"/>
          </w:tcPr>
          <w:p w14:paraId="75F3DFE8">
            <w:pPr>
              <w:snapToGrid w:val="0"/>
              <w:spacing w:line="240" w:lineRule="exact"/>
              <w:rPr>
                <w:rFonts w:ascii="宋体" w:hAnsi="宋体"/>
                <w:szCs w:val="21"/>
              </w:rPr>
            </w:pPr>
            <w:r>
              <w:rPr>
                <w:rFonts w:hint="eastAsia" w:ascii="宋体" w:hAnsi="宋体"/>
                <w:szCs w:val="21"/>
              </w:rPr>
              <w:t>工程实体</w:t>
            </w:r>
          </w:p>
        </w:tc>
        <w:tc>
          <w:tcPr>
            <w:tcW w:w="4961" w:type="dxa"/>
            <w:tcBorders>
              <w:top w:val="single" w:color="auto" w:sz="4" w:space="0"/>
              <w:left w:val="single" w:color="auto" w:sz="4" w:space="0"/>
              <w:right w:val="single" w:color="auto" w:sz="4" w:space="0"/>
            </w:tcBorders>
            <w:noWrap w:val="0"/>
            <w:vAlign w:val="center"/>
          </w:tcPr>
          <w:p w14:paraId="4659D8DC">
            <w:pPr>
              <w:numPr>
                <w:ilvl w:val="0"/>
                <w:numId w:val="2"/>
              </w:numPr>
              <w:snapToGrid w:val="0"/>
              <w:spacing w:line="360" w:lineRule="auto"/>
              <w:jc w:val="left"/>
              <w:rPr>
                <w:rFonts w:ascii="宋体" w:hAnsi="宋体" w:cs="宋体"/>
                <w:szCs w:val="21"/>
              </w:rPr>
            </w:pPr>
            <w:r>
              <w:rPr>
                <w:rFonts w:hint="eastAsia" w:ascii="宋体" w:hAnsi="宋体" w:cs="宋体"/>
                <w:szCs w:val="21"/>
              </w:rPr>
              <w:t>承重结构和受力钢筋；</w:t>
            </w:r>
          </w:p>
          <w:p w14:paraId="3B9C0697">
            <w:pPr>
              <w:numPr>
                <w:ilvl w:val="0"/>
                <w:numId w:val="2"/>
              </w:numPr>
              <w:snapToGrid w:val="0"/>
              <w:spacing w:line="360" w:lineRule="auto"/>
              <w:jc w:val="left"/>
              <w:rPr>
                <w:rFonts w:ascii="宋体" w:hAnsi="宋体" w:cs="宋体"/>
                <w:szCs w:val="21"/>
              </w:rPr>
            </w:pPr>
            <w:r>
              <w:rPr>
                <w:rFonts w:hint="eastAsia" w:ascii="宋体" w:hAnsi="宋体" w:cs="宋体"/>
                <w:szCs w:val="21"/>
              </w:rPr>
              <w:t>厨房、消防楼梯间及前室、水平疏散通道装修材料的燃烧性能等级；</w:t>
            </w:r>
          </w:p>
          <w:p w14:paraId="5A67D177">
            <w:pPr>
              <w:numPr>
                <w:ilvl w:val="0"/>
                <w:numId w:val="2"/>
              </w:numPr>
              <w:snapToGrid w:val="0"/>
              <w:spacing w:line="360" w:lineRule="auto"/>
              <w:jc w:val="left"/>
              <w:rPr>
                <w:rFonts w:ascii="宋体" w:hAnsi="宋体" w:cs="宋体"/>
                <w:szCs w:val="21"/>
              </w:rPr>
            </w:pPr>
            <w:r>
              <w:rPr>
                <w:rFonts w:hint="eastAsia" w:ascii="宋体" w:hAnsi="宋体" w:cs="宋体"/>
                <w:szCs w:val="21"/>
              </w:rPr>
              <w:t>窗台高度及防护栏杆；</w:t>
            </w:r>
          </w:p>
          <w:p w14:paraId="18C3B476">
            <w:pPr>
              <w:numPr>
                <w:ilvl w:val="0"/>
                <w:numId w:val="2"/>
              </w:numPr>
              <w:snapToGrid w:val="0"/>
              <w:spacing w:line="360" w:lineRule="auto"/>
              <w:jc w:val="left"/>
              <w:rPr>
                <w:rFonts w:ascii="宋体" w:hAnsi="宋体" w:cs="宋体"/>
                <w:szCs w:val="21"/>
              </w:rPr>
            </w:pPr>
            <w:r>
              <w:rPr>
                <w:rFonts w:hint="eastAsia" w:ascii="宋体" w:hAnsi="宋体" w:cs="宋体"/>
                <w:szCs w:val="21"/>
              </w:rPr>
              <w:t>阳台、楼梯、走道防护栏杆高度、构造、竖向杆件间距、玻璃品种及规格；</w:t>
            </w:r>
          </w:p>
          <w:p w14:paraId="5EDF9E53">
            <w:pPr>
              <w:numPr>
                <w:ilvl w:val="0"/>
                <w:numId w:val="2"/>
              </w:numPr>
              <w:snapToGrid w:val="0"/>
              <w:spacing w:line="360" w:lineRule="auto"/>
              <w:jc w:val="left"/>
              <w:rPr>
                <w:rFonts w:ascii="宋体" w:hAnsi="宋体" w:cs="宋体"/>
                <w:szCs w:val="21"/>
              </w:rPr>
            </w:pPr>
            <w:r>
              <w:rPr>
                <w:rFonts w:hint="eastAsia" w:ascii="宋体" w:hAnsi="宋体" w:cs="宋体"/>
                <w:szCs w:val="21"/>
              </w:rPr>
              <w:t>配电箱及开关插座的性能、电气线路接线、卫生间等电位联接、大型灯具的固定装置；</w:t>
            </w:r>
          </w:p>
          <w:p w14:paraId="588D9268">
            <w:pPr>
              <w:numPr>
                <w:ilvl w:val="0"/>
                <w:numId w:val="2"/>
              </w:numPr>
              <w:snapToGrid w:val="0"/>
              <w:spacing w:line="360" w:lineRule="auto"/>
              <w:jc w:val="left"/>
              <w:rPr>
                <w:rFonts w:ascii="宋体" w:hAnsi="宋体" w:cs="宋体"/>
                <w:szCs w:val="21"/>
              </w:rPr>
            </w:pPr>
            <w:r>
              <w:rPr>
                <w:rFonts w:hint="eastAsia" w:ascii="宋体" w:hAnsi="宋体" w:cs="宋体"/>
                <w:szCs w:val="21"/>
              </w:rPr>
              <w:t>干挂石材、瓷砖墙面的构造及墙地面瓷砖空鼓率、平整度；</w:t>
            </w:r>
          </w:p>
          <w:p w14:paraId="26F5137C">
            <w:pPr>
              <w:numPr>
                <w:ilvl w:val="0"/>
                <w:numId w:val="2"/>
              </w:numPr>
              <w:snapToGrid w:val="0"/>
              <w:spacing w:line="360" w:lineRule="auto"/>
              <w:jc w:val="left"/>
              <w:rPr>
                <w:rFonts w:ascii="宋体" w:hAnsi="宋体" w:cs="宋体"/>
                <w:szCs w:val="21"/>
              </w:rPr>
            </w:pPr>
            <w:r>
              <w:rPr>
                <w:rFonts w:hint="eastAsia" w:ascii="宋体" w:hAnsi="宋体" w:cs="宋体"/>
                <w:szCs w:val="21"/>
              </w:rPr>
              <w:t>淋浴玻璃隔断的构造、玻璃品种及规格；</w:t>
            </w:r>
          </w:p>
          <w:p w14:paraId="7F38F6AE">
            <w:pPr>
              <w:numPr>
                <w:ilvl w:val="0"/>
                <w:numId w:val="2"/>
              </w:numPr>
              <w:snapToGrid w:val="0"/>
              <w:spacing w:line="360" w:lineRule="auto"/>
              <w:jc w:val="left"/>
              <w:rPr>
                <w:rFonts w:ascii="宋体" w:hAnsi="宋体" w:cs="宋体"/>
                <w:szCs w:val="21"/>
              </w:rPr>
            </w:pPr>
            <w:r>
              <w:rPr>
                <w:rFonts w:hint="eastAsia" w:ascii="宋体" w:hAnsi="宋体" w:cs="宋体"/>
                <w:szCs w:val="21"/>
              </w:rPr>
              <w:t>消火栓暗门；</w:t>
            </w:r>
          </w:p>
          <w:p w14:paraId="7108A2D2">
            <w:pPr>
              <w:numPr>
                <w:ilvl w:val="0"/>
                <w:numId w:val="2"/>
              </w:numPr>
              <w:snapToGrid w:val="0"/>
              <w:spacing w:line="360" w:lineRule="auto"/>
              <w:jc w:val="left"/>
              <w:rPr>
                <w:rFonts w:ascii="宋体" w:hAnsi="宋体" w:cs="宋体"/>
                <w:szCs w:val="21"/>
              </w:rPr>
            </w:pPr>
            <w:r>
              <w:rPr>
                <w:rFonts w:hint="eastAsia" w:ascii="宋体" w:hAnsi="宋体" w:cs="宋体"/>
                <w:szCs w:val="21"/>
              </w:rPr>
              <w:t>燃气管道、共用竖向烟道</w:t>
            </w:r>
          </w:p>
          <w:p w14:paraId="3E8B978A">
            <w:pPr>
              <w:numPr>
                <w:ilvl w:val="0"/>
                <w:numId w:val="2"/>
              </w:numPr>
              <w:snapToGrid w:val="0"/>
              <w:spacing w:line="360" w:lineRule="auto"/>
              <w:jc w:val="left"/>
              <w:rPr>
                <w:rFonts w:ascii="宋体" w:hAnsi="宋体" w:cs="宋体"/>
                <w:szCs w:val="21"/>
              </w:rPr>
            </w:pPr>
            <w:r>
              <w:rPr>
                <w:rFonts w:hint="eastAsia" w:ascii="宋体" w:hAnsi="宋体" w:cs="宋体"/>
                <w:szCs w:val="21"/>
              </w:rPr>
              <w:t>卫生间、厨房、阳台防水性能以及与相邻室内地面的高差，室内异味；</w:t>
            </w:r>
          </w:p>
          <w:p w14:paraId="0C7A7EF6">
            <w:pPr>
              <w:numPr>
                <w:ilvl w:val="0"/>
                <w:numId w:val="2"/>
              </w:numPr>
              <w:snapToGrid w:val="0"/>
              <w:spacing w:line="360" w:lineRule="auto"/>
              <w:jc w:val="left"/>
              <w:rPr>
                <w:rFonts w:ascii="宋体" w:hAnsi="宋体" w:cs="宋体"/>
                <w:szCs w:val="21"/>
              </w:rPr>
            </w:pPr>
            <w:r>
              <w:rPr>
                <w:rFonts w:hint="eastAsia" w:ascii="宋体" w:hAnsi="宋体" w:cs="宋体"/>
                <w:szCs w:val="21"/>
              </w:rPr>
              <w:t>厨房、卫生间、敞开式阳台、连廊、架空层地面材料的防滑性能；</w:t>
            </w:r>
          </w:p>
          <w:p w14:paraId="257168FD">
            <w:pPr>
              <w:numPr>
                <w:ilvl w:val="0"/>
                <w:numId w:val="2"/>
              </w:numPr>
              <w:snapToGrid w:val="0"/>
              <w:spacing w:line="360" w:lineRule="auto"/>
              <w:jc w:val="left"/>
              <w:rPr>
                <w:rFonts w:ascii="宋体" w:hAnsi="宋体" w:cs="宋体"/>
                <w:szCs w:val="21"/>
              </w:rPr>
            </w:pPr>
            <w:r>
              <w:rPr>
                <w:rFonts w:hint="eastAsia" w:ascii="宋体" w:hAnsi="宋体" w:cs="宋体"/>
                <w:szCs w:val="21"/>
              </w:rPr>
              <w:t>无障碍设计；</w:t>
            </w:r>
          </w:p>
          <w:p w14:paraId="3B082EC9">
            <w:pPr>
              <w:numPr>
                <w:ilvl w:val="0"/>
                <w:numId w:val="2"/>
              </w:numPr>
              <w:snapToGrid w:val="0"/>
              <w:spacing w:line="360" w:lineRule="auto"/>
              <w:jc w:val="left"/>
              <w:rPr>
                <w:rFonts w:ascii="宋体" w:hAnsi="宋体" w:cs="宋体"/>
                <w:szCs w:val="21"/>
              </w:rPr>
            </w:pPr>
            <w:r>
              <w:rPr>
                <w:rFonts w:hint="eastAsia" w:ascii="宋体" w:hAnsi="宋体" w:cs="宋体"/>
                <w:bCs/>
                <w:szCs w:val="21"/>
              </w:rPr>
              <w:t>违反国家现行标准强制性条文规定的情形；</w:t>
            </w:r>
          </w:p>
          <w:p w14:paraId="2A11B6B0">
            <w:pPr>
              <w:numPr>
                <w:ilvl w:val="0"/>
                <w:numId w:val="2"/>
              </w:numPr>
              <w:snapToGrid w:val="0"/>
              <w:spacing w:line="360" w:lineRule="auto"/>
              <w:jc w:val="left"/>
              <w:rPr>
                <w:rFonts w:ascii="宋体" w:hAnsi="宋体" w:cs="宋体"/>
                <w:szCs w:val="21"/>
              </w:rPr>
            </w:pPr>
            <w:r>
              <w:rPr>
                <w:rFonts w:hint="eastAsia" w:ascii="宋体" w:hAnsi="宋体" w:cs="宋体"/>
                <w:bCs/>
                <w:szCs w:val="21"/>
              </w:rPr>
              <w:t>影响工程使用安全的其他情形；</w:t>
            </w:r>
          </w:p>
          <w:p w14:paraId="2EF617C3">
            <w:pPr>
              <w:numPr>
                <w:ilvl w:val="0"/>
                <w:numId w:val="2"/>
              </w:numPr>
              <w:snapToGrid w:val="0"/>
              <w:spacing w:line="360" w:lineRule="auto"/>
              <w:jc w:val="left"/>
              <w:rPr>
                <w:rFonts w:ascii="宋体" w:hAnsi="宋体" w:cs="宋体"/>
                <w:szCs w:val="21"/>
              </w:rPr>
            </w:pPr>
            <w:r>
              <w:rPr>
                <w:rFonts w:hint="eastAsia" w:ascii="宋体" w:hAnsi="宋体" w:cs="宋体"/>
                <w:bCs/>
                <w:szCs w:val="21"/>
              </w:rPr>
              <w:t>影响工程使用功能的其他情形；</w:t>
            </w:r>
          </w:p>
          <w:p w14:paraId="0E4C5269">
            <w:pPr>
              <w:numPr>
                <w:ilvl w:val="0"/>
                <w:numId w:val="2"/>
              </w:numPr>
              <w:snapToGrid w:val="0"/>
              <w:spacing w:line="360" w:lineRule="auto"/>
              <w:jc w:val="left"/>
              <w:rPr>
                <w:rFonts w:ascii="宋体" w:hAnsi="宋体" w:cs="宋体"/>
                <w:szCs w:val="21"/>
              </w:rPr>
            </w:pPr>
            <w:r>
              <w:rPr>
                <w:rFonts w:ascii="宋体" w:hAnsi="宋体" w:cs="宋体"/>
                <w:szCs w:val="21"/>
              </w:rPr>
              <w:t>其它质量缺陷。</w:t>
            </w:r>
          </w:p>
          <w:p w14:paraId="5C1DFF94">
            <w:pPr>
              <w:snapToGrid w:val="0"/>
              <w:spacing w:line="360" w:lineRule="auto"/>
              <w:jc w:val="left"/>
              <w:rPr>
                <w:rFonts w:ascii="宋体" w:hAnsi="宋体" w:cs="宋体"/>
                <w:sz w:val="24"/>
              </w:rPr>
            </w:pPr>
          </w:p>
        </w:tc>
        <w:tc>
          <w:tcPr>
            <w:tcW w:w="2409" w:type="dxa"/>
            <w:tcBorders>
              <w:top w:val="single" w:color="auto" w:sz="4" w:space="0"/>
              <w:left w:val="single" w:color="auto" w:sz="4" w:space="0"/>
              <w:right w:val="single" w:color="auto" w:sz="4" w:space="0"/>
            </w:tcBorders>
            <w:noWrap w:val="0"/>
            <w:vAlign w:val="center"/>
          </w:tcPr>
          <w:p w14:paraId="4AB605CD">
            <w:pPr>
              <w:numPr>
                <w:ilvl w:val="0"/>
                <w:numId w:val="3"/>
              </w:numPr>
              <w:snapToGrid w:val="0"/>
              <w:spacing w:line="288" w:lineRule="auto"/>
              <w:ind w:left="0" w:firstLine="0"/>
              <w:jc w:val="left"/>
              <w:rPr>
                <w:rFonts w:ascii="宋体" w:hAnsi="宋体"/>
                <w:szCs w:val="21"/>
              </w:rPr>
            </w:pPr>
            <w:r>
              <w:rPr>
                <w:rFonts w:hint="eastAsia" w:ascii="宋体" w:hAnsi="宋体"/>
                <w:szCs w:val="21"/>
              </w:rPr>
              <w:t>如有擅自改动或破坏承重结构、受力钢筋的，扣20分。</w:t>
            </w:r>
          </w:p>
          <w:p w14:paraId="30069D03">
            <w:pPr>
              <w:numPr>
                <w:ilvl w:val="0"/>
                <w:numId w:val="3"/>
              </w:numPr>
              <w:snapToGrid w:val="0"/>
              <w:spacing w:line="288" w:lineRule="auto"/>
              <w:ind w:left="0" w:firstLine="0"/>
              <w:jc w:val="left"/>
              <w:rPr>
                <w:rFonts w:ascii="宋体" w:hAnsi="宋体"/>
                <w:szCs w:val="21"/>
              </w:rPr>
            </w:pPr>
            <w:r>
              <w:rPr>
                <w:rFonts w:hint="eastAsia" w:ascii="宋体" w:hAnsi="宋体"/>
                <w:bCs/>
                <w:szCs w:val="21"/>
              </w:rPr>
              <w:t>厨房、消防楼梯间及前室、水平疏散通道装修材料的燃烧性能等级低于A级的，扣10分。</w:t>
            </w:r>
          </w:p>
          <w:p w14:paraId="71805BF1">
            <w:pPr>
              <w:numPr>
                <w:ilvl w:val="0"/>
                <w:numId w:val="3"/>
              </w:numPr>
              <w:snapToGrid w:val="0"/>
              <w:spacing w:line="288" w:lineRule="auto"/>
              <w:ind w:left="0" w:firstLine="0"/>
              <w:jc w:val="left"/>
              <w:rPr>
                <w:rFonts w:ascii="宋体" w:hAnsi="宋体"/>
                <w:szCs w:val="21"/>
              </w:rPr>
            </w:pPr>
            <w:r>
              <w:rPr>
                <w:rFonts w:hint="eastAsia" w:ascii="宋体" w:hAnsi="宋体"/>
                <w:szCs w:val="21"/>
              </w:rPr>
              <w:t>窗台高度及栏杆不符合国家现行标准规定的，扣</w:t>
            </w:r>
            <w:r>
              <w:rPr>
                <w:rFonts w:ascii="宋体" w:hAnsi="宋体"/>
                <w:szCs w:val="21"/>
              </w:rPr>
              <w:t>5</w:t>
            </w:r>
            <w:r>
              <w:rPr>
                <w:rFonts w:hint="eastAsia" w:ascii="宋体" w:hAnsi="宋体"/>
                <w:szCs w:val="21"/>
              </w:rPr>
              <w:t>～1</w:t>
            </w:r>
            <w:r>
              <w:rPr>
                <w:rFonts w:ascii="宋体" w:hAnsi="宋体"/>
                <w:szCs w:val="21"/>
              </w:rPr>
              <w:t>0</w:t>
            </w:r>
            <w:r>
              <w:rPr>
                <w:rFonts w:hint="eastAsia" w:ascii="宋体" w:hAnsi="宋体"/>
                <w:szCs w:val="21"/>
              </w:rPr>
              <w:t>分；</w:t>
            </w:r>
          </w:p>
          <w:p w14:paraId="62BB2BFF">
            <w:pPr>
              <w:numPr>
                <w:ilvl w:val="0"/>
                <w:numId w:val="3"/>
              </w:numPr>
              <w:snapToGrid w:val="0"/>
              <w:spacing w:line="288" w:lineRule="auto"/>
              <w:ind w:left="0" w:firstLine="0"/>
              <w:jc w:val="left"/>
              <w:rPr>
                <w:rFonts w:ascii="宋体" w:hAnsi="宋体"/>
                <w:szCs w:val="21"/>
              </w:rPr>
            </w:pPr>
            <w:r>
              <w:rPr>
                <w:rFonts w:hint="eastAsia" w:ascii="宋体" w:hAnsi="宋体"/>
                <w:szCs w:val="21"/>
              </w:rPr>
              <w:t>阳台、楼梯、走道防护栏杆高度、构造、竖向杆件间距、玻璃品种及规格不符合国家现行标准规定的，扣</w:t>
            </w:r>
            <w:r>
              <w:rPr>
                <w:rFonts w:ascii="宋体" w:hAnsi="宋体"/>
                <w:szCs w:val="21"/>
              </w:rPr>
              <w:t>5</w:t>
            </w:r>
            <w:r>
              <w:rPr>
                <w:rFonts w:hint="eastAsia" w:ascii="宋体" w:hAnsi="宋体"/>
                <w:szCs w:val="21"/>
              </w:rPr>
              <w:t>～1</w:t>
            </w:r>
            <w:r>
              <w:rPr>
                <w:rFonts w:ascii="宋体" w:hAnsi="宋体"/>
                <w:szCs w:val="21"/>
              </w:rPr>
              <w:t>0</w:t>
            </w:r>
            <w:r>
              <w:rPr>
                <w:rFonts w:hint="eastAsia" w:ascii="宋体" w:hAnsi="宋体"/>
                <w:szCs w:val="21"/>
              </w:rPr>
              <w:t>分；</w:t>
            </w:r>
          </w:p>
          <w:p w14:paraId="0328EEC2">
            <w:pPr>
              <w:numPr>
                <w:ilvl w:val="0"/>
                <w:numId w:val="3"/>
              </w:numPr>
              <w:snapToGrid w:val="0"/>
              <w:spacing w:line="288" w:lineRule="auto"/>
              <w:ind w:left="0" w:firstLine="0"/>
              <w:jc w:val="left"/>
              <w:rPr>
                <w:rFonts w:ascii="宋体" w:hAnsi="宋体"/>
                <w:szCs w:val="21"/>
              </w:rPr>
            </w:pPr>
            <w:r>
              <w:rPr>
                <w:rFonts w:hint="eastAsia" w:ascii="宋体" w:hAnsi="宋体"/>
                <w:szCs w:val="21"/>
              </w:rPr>
              <w:t>配电箱及开关插座的性能、电气线路接线、卫生间等电位联接、大型吊灯的荷载试验记录不符合国家现行标准规定的，扣</w:t>
            </w:r>
            <w:r>
              <w:rPr>
                <w:rFonts w:ascii="宋体" w:hAnsi="宋体"/>
                <w:szCs w:val="21"/>
              </w:rPr>
              <w:t>5</w:t>
            </w:r>
            <w:r>
              <w:rPr>
                <w:rFonts w:hint="eastAsia" w:ascii="宋体" w:hAnsi="宋体"/>
                <w:szCs w:val="21"/>
              </w:rPr>
              <w:t>～1</w:t>
            </w:r>
            <w:r>
              <w:rPr>
                <w:rFonts w:ascii="宋体" w:hAnsi="宋体"/>
                <w:szCs w:val="21"/>
              </w:rPr>
              <w:t>0</w:t>
            </w:r>
            <w:r>
              <w:rPr>
                <w:rFonts w:hint="eastAsia" w:ascii="宋体" w:hAnsi="宋体"/>
                <w:szCs w:val="21"/>
              </w:rPr>
              <w:t>分；</w:t>
            </w:r>
          </w:p>
          <w:p w14:paraId="3FEECF53">
            <w:pPr>
              <w:numPr>
                <w:ilvl w:val="0"/>
                <w:numId w:val="3"/>
              </w:numPr>
              <w:snapToGrid w:val="0"/>
              <w:spacing w:line="288" w:lineRule="auto"/>
              <w:ind w:left="33" w:hanging="33"/>
              <w:jc w:val="left"/>
              <w:rPr>
                <w:rFonts w:ascii="宋体" w:hAnsi="宋体"/>
                <w:szCs w:val="21"/>
              </w:rPr>
            </w:pPr>
            <w:r>
              <w:rPr>
                <w:rFonts w:hint="eastAsia" w:ascii="宋体" w:hAnsi="宋体"/>
                <w:szCs w:val="21"/>
              </w:rPr>
              <w:t>石材、瓷砖直接采用胶粘方式固定在粉刷层或钢架上的扣5分；</w:t>
            </w:r>
          </w:p>
          <w:p w14:paraId="18F90487">
            <w:pPr>
              <w:snapToGrid w:val="0"/>
              <w:spacing w:line="288" w:lineRule="auto"/>
              <w:jc w:val="left"/>
              <w:rPr>
                <w:rFonts w:ascii="宋体" w:hAnsi="宋体"/>
                <w:szCs w:val="21"/>
              </w:rPr>
            </w:pPr>
            <w:r>
              <w:rPr>
                <w:rFonts w:hint="eastAsia" w:ascii="宋体" w:hAnsi="宋体"/>
                <w:szCs w:val="21"/>
              </w:rPr>
              <w:t>空鼓率超标、平整度欠佳的扣0.5～3分。</w:t>
            </w:r>
          </w:p>
          <w:p w14:paraId="0E7C0444">
            <w:pPr>
              <w:pStyle w:val="6"/>
              <w:numPr>
                <w:ilvl w:val="0"/>
                <w:numId w:val="3"/>
              </w:numPr>
              <w:snapToGrid w:val="0"/>
              <w:spacing w:line="288" w:lineRule="auto"/>
              <w:ind w:left="33" w:hanging="33" w:firstLineChars="0"/>
              <w:jc w:val="left"/>
              <w:rPr>
                <w:rFonts w:ascii="宋体" w:hAnsi="宋体"/>
                <w:szCs w:val="21"/>
              </w:rPr>
            </w:pPr>
            <w:r>
              <w:rPr>
                <w:rFonts w:hint="eastAsia" w:ascii="宋体" w:hAnsi="宋体"/>
                <w:szCs w:val="21"/>
              </w:rPr>
              <w:t>淋浴玻璃隔断未使用安全玻璃的扣5分；使用的安全玻璃厚度不符合国家现行标准规定的扣3分。</w:t>
            </w:r>
          </w:p>
          <w:p w14:paraId="5EE50E01">
            <w:pPr>
              <w:pStyle w:val="6"/>
              <w:numPr>
                <w:ilvl w:val="0"/>
                <w:numId w:val="3"/>
              </w:numPr>
              <w:snapToGrid w:val="0"/>
              <w:spacing w:line="288" w:lineRule="auto"/>
              <w:ind w:left="33" w:hanging="33" w:firstLineChars="0"/>
              <w:jc w:val="left"/>
              <w:rPr>
                <w:rFonts w:ascii="宋体" w:hAnsi="宋体"/>
                <w:szCs w:val="21"/>
              </w:rPr>
            </w:pPr>
            <w:r>
              <w:rPr>
                <w:rFonts w:hint="eastAsia" w:ascii="宋体" w:hAnsi="宋体"/>
                <w:szCs w:val="21"/>
              </w:rPr>
              <w:t>消火栓暗门无标识、无拉手、开启不便扣2分；开启方向错误、钢架或钢架与结构之间的间隙没有封闭、标识不明显的扣0.5～1分。</w:t>
            </w:r>
          </w:p>
          <w:p w14:paraId="20C1741F">
            <w:pPr>
              <w:pStyle w:val="6"/>
              <w:numPr>
                <w:ilvl w:val="0"/>
                <w:numId w:val="3"/>
              </w:numPr>
              <w:ind w:left="33" w:hanging="33" w:firstLineChars="0"/>
              <w:rPr>
                <w:rFonts w:ascii="宋体" w:hAnsi="宋体"/>
                <w:szCs w:val="21"/>
              </w:rPr>
            </w:pPr>
            <w:r>
              <w:rPr>
                <w:rFonts w:hint="eastAsia" w:ascii="宋体" w:hAnsi="宋体"/>
                <w:szCs w:val="21"/>
              </w:rPr>
              <w:t>改动或破坏燃气管道、共用竖向烟道的，扣5分；</w:t>
            </w:r>
          </w:p>
          <w:p w14:paraId="1571B74F">
            <w:pPr>
              <w:numPr>
                <w:ilvl w:val="0"/>
                <w:numId w:val="3"/>
              </w:numPr>
              <w:snapToGrid w:val="0"/>
              <w:spacing w:line="288" w:lineRule="auto"/>
              <w:ind w:left="33" w:hanging="33"/>
              <w:jc w:val="left"/>
              <w:rPr>
                <w:rFonts w:ascii="宋体" w:hAnsi="宋体"/>
                <w:szCs w:val="21"/>
              </w:rPr>
            </w:pPr>
            <w:r>
              <w:rPr>
                <w:rFonts w:hint="eastAsia" w:ascii="宋体" w:hAnsi="宋体"/>
                <w:szCs w:val="21"/>
              </w:rPr>
              <w:t>卫生间、厨房、阳台渗水或有异味的扣1～5分；与相邻室内地面的高差不符合国家现行标准规定、地漏位置及泛水坡向不正确、地面积水的扣1分。</w:t>
            </w:r>
          </w:p>
          <w:p w14:paraId="39ECB7AD">
            <w:pPr>
              <w:numPr>
                <w:ilvl w:val="0"/>
                <w:numId w:val="3"/>
              </w:numPr>
              <w:snapToGrid w:val="0"/>
              <w:spacing w:line="288" w:lineRule="auto"/>
              <w:ind w:left="33" w:hanging="33"/>
              <w:jc w:val="left"/>
              <w:rPr>
                <w:rFonts w:ascii="宋体" w:hAnsi="宋体"/>
                <w:szCs w:val="21"/>
              </w:rPr>
            </w:pPr>
            <w:r>
              <w:rPr>
                <w:rFonts w:hint="eastAsia" w:ascii="宋体" w:hAnsi="宋体"/>
                <w:szCs w:val="21"/>
              </w:rPr>
              <w:t>厨房、卫生间、敞开式阳台、连廊、架空层地面材料的防滑性能不符合国家现行标准规定的，扣</w:t>
            </w:r>
            <w:r>
              <w:rPr>
                <w:rFonts w:ascii="宋体" w:hAnsi="宋体"/>
                <w:szCs w:val="21"/>
              </w:rPr>
              <w:t>1</w:t>
            </w:r>
            <w:r>
              <w:rPr>
                <w:rFonts w:hint="eastAsia" w:ascii="宋体" w:hAnsi="宋体"/>
                <w:szCs w:val="21"/>
              </w:rPr>
              <w:t>～3分；</w:t>
            </w:r>
          </w:p>
          <w:p w14:paraId="15CE64CC">
            <w:pPr>
              <w:numPr>
                <w:ilvl w:val="0"/>
                <w:numId w:val="3"/>
              </w:numPr>
              <w:snapToGrid w:val="0"/>
              <w:spacing w:line="288" w:lineRule="auto"/>
              <w:ind w:left="33" w:hanging="33"/>
              <w:jc w:val="left"/>
              <w:rPr>
                <w:rFonts w:ascii="宋体" w:hAnsi="宋体"/>
                <w:szCs w:val="21"/>
              </w:rPr>
            </w:pPr>
            <w:r>
              <w:rPr>
                <w:rFonts w:hint="eastAsia" w:ascii="宋体" w:hAnsi="宋体"/>
                <w:szCs w:val="21"/>
              </w:rPr>
              <w:t>七层及七层以上住宅的建筑出入口、出入口平台、候梯厅和公共走道没有无障碍设施的，扣2～3分；养老公寓没有无障碍设施或设施不到位的，扣3～5分。</w:t>
            </w:r>
          </w:p>
          <w:p w14:paraId="0ABD9087">
            <w:pPr>
              <w:numPr>
                <w:ilvl w:val="0"/>
                <w:numId w:val="3"/>
              </w:numPr>
              <w:snapToGrid w:val="0"/>
              <w:spacing w:line="288" w:lineRule="auto"/>
              <w:ind w:left="33" w:hanging="33"/>
              <w:jc w:val="left"/>
              <w:rPr>
                <w:rFonts w:ascii="宋体" w:hAnsi="宋体"/>
                <w:szCs w:val="21"/>
              </w:rPr>
            </w:pPr>
            <w:r>
              <w:rPr>
                <w:rFonts w:hint="eastAsia" w:ascii="宋体" w:hAnsi="宋体"/>
                <w:szCs w:val="21"/>
              </w:rPr>
              <w:t>违反国家现行标准强制性条文规定的情形</w:t>
            </w:r>
            <w:r>
              <w:rPr>
                <w:rFonts w:hint="eastAsia" w:ascii="宋体" w:hAnsi="宋体"/>
                <w:bCs/>
                <w:szCs w:val="21"/>
              </w:rPr>
              <w:t>扣10</w:t>
            </w:r>
            <w:r>
              <w:rPr>
                <w:rFonts w:hint="eastAsia" w:ascii="宋体" w:hAnsi="宋体"/>
                <w:szCs w:val="21"/>
              </w:rPr>
              <w:t>～20分。</w:t>
            </w:r>
          </w:p>
          <w:p w14:paraId="08EAC64A">
            <w:pPr>
              <w:numPr>
                <w:ilvl w:val="0"/>
                <w:numId w:val="3"/>
              </w:numPr>
              <w:snapToGrid w:val="0"/>
              <w:spacing w:line="288" w:lineRule="auto"/>
              <w:ind w:left="33" w:hanging="33"/>
              <w:jc w:val="left"/>
              <w:rPr>
                <w:rFonts w:ascii="宋体" w:hAnsi="宋体"/>
                <w:szCs w:val="21"/>
              </w:rPr>
            </w:pPr>
            <w:r>
              <w:rPr>
                <w:rFonts w:hint="eastAsia" w:ascii="宋体" w:hAnsi="宋体"/>
                <w:bCs/>
                <w:szCs w:val="21"/>
              </w:rPr>
              <w:t>影响工程使用安全的其它情形每项扣3～5分。</w:t>
            </w:r>
          </w:p>
          <w:p w14:paraId="6EDC422D">
            <w:pPr>
              <w:numPr>
                <w:ilvl w:val="0"/>
                <w:numId w:val="3"/>
              </w:numPr>
              <w:snapToGrid w:val="0"/>
              <w:spacing w:line="288" w:lineRule="auto"/>
              <w:ind w:left="33" w:hanging="33"/>
              <w:jc w:val="left"/>
              <w:rPr>
                <w:rFonts w:ascii="宋体" w:hAnsi="宋体"/>
                <w:szCs w:val="21"/>
              </w:rPr>
            </w:pPr>
            <w:r>
              <w:rPr>
                <w:rFonts w:hint="eastAsia" w:ascii="宋体" w:hAnsi="宋体"/>
                <w:bCs/>
                <w:szCs w:val="21"/>
              </w:rPr>
              <w:t>影响工程使用功能的其它情形每项扣1～3分。</w:t>
            </w:r>
          </w:p>
          <w:p w14:paraId="1BF4D222">
            <w:pPr>
              <w:numPr>
                <w:ilvl w:val="0"/>
                <w:numId w:val="3"/>
              </w:numPr>
              <w:snapToGrid w:val="0"/>
              <w:spacing w:line="288" w:lineRule="auto"/>
              <w:ind w:left="0" w:firstLine="0"/>
              <w:jc w:val="left"/>
              <w:rPr>
                <w:rFonts w:ascii="宋体" w:hAnsi="宋体"/>
                <w:szCs w:val="21"/>
              </w:rPr>
            </w:pPr>
            <w:r>
              <w:rPr>
                <w:rFonts w:hint="eastAsia" w:ascii="宋体" w:hAnsi="宋体"/>
                <w:szCs w:val="21"/>
              </w:rPr>
              <w:t>存在其它质量缺陷的，每项扣0.5～2分。</w:t>
            </w:r>
          </w:p>
        </w:tc>
        <w:tc>
          <w:tcPr>
            <w:tcW w:w="1701" w:type="dxa"/>
            <w:tcBorders>
              <w:top w:val="single" w:color="auto" w:sz="4" w:space="0"/>
              <w:left w:val="single" w:color="auto" w:sz="4" w:space="0"/>
              <w:right w:val="single" w:color="auto" w:sz="4" w:space="0"/>
            </w:tcBorders>
            <w:noWrap w:val="0"/>
            <w:vAlign w:val="center"/>
          </w:tcPr>
          <w:p w14:paraId="3AB20D68">
            <w:pPr>
              <w:snapToGrid w:val="0"/>
              <w:spacing w:line="288" w:lineRule="auto"/>
              <w:jc w:val="left"/>
              <w:rPr>
                <w:rFonts w:ascii="宋体" w:hAnsi="宋体"/>
                <w:szCs w:val="21"/>
              </w:rPr>
            </w:pPr>
            <w:r>
              <w:rPr>
                <w:rFonts w:hint="eastAsia" w:ascii="宋体" w:hAnsi="宋体"/>
                <w:bCs/>
                <w:szCs w:val="21"/>
              </w:rPr>
              <w:t>符合设计要求，满足国家现行相关标准的规定。</w:t>
            </w:r>
          </w:p>
        </w:tc>
        <w:tc>
          <w:tcPr>
            <w:tcW w:w="851" w:type="dxa"/>
            <w:tcBorders>
              <w:top w:val="single" w:color="auto" w:sz="4" w:space="0"/>
              <w:left w:val="single" w:color="auto" w:sz="4" w:space="0"/>
              <w:right w:val="single" w:color="auto" w:sz="4" w:space="0"/>
            </w:tcBorders>
            <w:noWrap w:val="0"/>
            <w:vAlign w:val="center"/>
          </w:tcPr>
          <w:p w14:paraId="6D25C5ED">
            <w:pPr>
              <w:snapToGrid w:val="0"/>
              <w:spacing w:line="288" w:lineRule="auto"/>
              <w:jc w:val="center"/>
              <w:rPr>
                <w:rFonts w:ascii="宋体" w:hAnsi="宋体"/>
                <w:szCs w:val="21"/>
              </w:rPr>
            </w:pPr>
            <w:r>
              <w:rPr>
                <w:rFonts w:hint="eastAsia" w:ascii="宋体" w:hAnsi="宋体"/>
                <w:szCs w:val="21"/>
              </w:rPr>
              <w:t>60分</w:t>
            </w:r>
          </w:p>
        </w:tc>
        <w:tc>
          <w:tcPr>
            <w:tcW w:w="2268" w:type="dxa"/>
            <w:tcBorders>
              <w:top w:val="single" w:color="auto" w:sz="4" w:space="0"/>
              <w:left w:val="single" w:color="auto" w:sz="4" w:space="0"/>
              <w:right w:val="single" w:color="auto" w:sz="4" w:space="0"/>
            </w:tcBorders>
            <w:noWrap w:val="0"/>
            <w:vAlign w:val="center"/>
          </w:tcPr>
          <w:p w14:paraId="33655F74">
            <w:pPr>
              <w:snapToGrid w:val="0"/>
              <w:spacing w:line="288" w:lineRule="auto"/>
              <w:rPr>
                <w:rFonts w:ascii="宋体" w:hAnsi="宋体"/>
                <w:szCs w:val="21"/>
              </w:rPr>
            </w:pPr>
            <w:r>
              <w:rPr>
                <w:rFonts w:hint="eastAsia" w:ascii="宋体" w:hAnsi="宋体"/>
                <w:szCs w:val="21"/>
              </w:rPr>
              <w:t>查：工程实体质量，并核对图纸、质量管理与技术资料是否与工程实体相符。</w:t>
            </w:r>
          </w:p>
        </w:tc>
      </w:tr>
      <w:tr w14:paraId="7DBD7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14:paraId="3DA84E1B">
            <w:pPr>
              <w:snapToGrid w:val="0"/>
              <w:spacing w:line="288" w:lineRule="auto"/>
              <w:jc w:val="center"/>
              <w:rPr>
                <w:rFonts w:ascii="宋体" w:hAnsi="宋体"/>
                <w:szCs w:val="21"/>
              </w:rPr>
            </w:pPr>
            <w:r>
              <w:rPr>
                <w:rFonts w:hint="eastAsia" w:ascii="宋体" w:hAnsi="宋体"/>
                <w:szCs w:val="21"/>
              </w:rPr>
              <w:t>3</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0E1427BB">
            <w:pPr>
              <w:snapToGrid w:val="0"/>
              <w:spacing w:line="360" w:lineRule="auto"/>
              <w:jc w:val="center"/>
              <w:rPr>
                <w:rFonts w:ascii="宋体" w:hAnsi="宋体"/>
                <w:szCs w:val="21"/>
              </w:rPr>
            </w:pPr>
            <w:r>
              <w:rPr>
                <w:rFonts w:hint="eastAsia" w:ascii="宋体" w:hAnsi="宋体"/>
                <w:szCs w:val="21"/>
              </w:rPr>
              <w:t>新技术</w:t>
            </w:r>
          </w:p>
        </w:tc>
        <w:tc>
          <w:tcPr>
            <w:tcW w:w="4961" w:type="dxa"/>
            <w:tcBorders>
              <w:top w:val="single" w:color="auto" w:sz="4" w:space="0"/>
              <w:left w:val="single" w:color="auto" w:sz="4" w:space="0"/>
              <w:bottom w:val="single" w:color="auto" w:sz="4" w:space="0"/>
              <w:right w:val="single" w:color="auto" w:sz="4" w:space="0"/>
            </w:tcBorders>
            <w:noWrap w:val="0"/>
            <w:vAlign w:val="center"/>
          </w:tcPr>
          <w:p w14:paraId="5836C135">
            <w:pPr>
              <w:snapToGrid w:val="0"/>
              <w:spacing w:line="360" w:lineRule="auto"/>
              <w:ind w:left="1"/>
              <w:jc w:val="left"/>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新材料、新技术、新工艺、新设备的（包括装配化施工、智慧建造）应用。</w:t>
            </w:r>
          </w:p>
          <w:p w14:paraId="09F4AB91">
            <w:pPr>
              <w:snapToGrid w:val="0"/>
              <w:spacing w:line="360" w:lineRule="auto"/>
              <w:jc w:val="left"/>
              <w:rPr>
                <w:rFonts w:ascii="宋体" w:hAnsi="宋体" w:cs="宋体"/>
                <w:szCs w:val="21"/>
              </w:rPr>
            </w:pPr>
            <w:r>
              <w:rPr>
                <w:rFonts w:ascii="宋体" w:hAnsi="宋体" w:cs="宋体"/>
                <w:szCs w:val="21"/>
              </w:rPr>
              <w:t>2.</w:t>
            </w:r>
            <w:r>
              <w:rPr>
                <w:rFonts w:hint="eastAsia" w:ascii="宋体" w:hAnsi="宋体" w:cs="宋体"/>
                <w:szCs w:val="21"/>
              </w:rPr>
              <w:t>获得了建筑装饰行业科学技术奖</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0E63ABB">
            <w:pPr>
              <w:snapToGrid w:val="0"/>
              <w:spacing w:line="360" w:lineRule="auto"/>
              <w:jc w:val="left"/>
              <w:rPr>
                <w:rFonts w:ascii="宋体" w:hAnsi="宋体" w:cs="宋体"/>
                <w:szCs w:val="21"/>
              </w:rPr>
            </w:pPr>
            <w:r>
              <w:rPr>
                <w:rFonts w:hint="eastAsia" w:ascii="宋体" w:hAnsi="宋体" w:cs="宋体"/>
                <w:szCs w:val="21"/>
              </w:rPr>
              <w:t>没有“四新”技术应用内容的，扣</w:t>
            </w:r>
            <w:r>
              <w:rPr>
                <w:rFonts w:ascii="宋体" w:hAnsi="宋体" w:cs="宋体"/>
                <w:szCs w:val="21"/>
              </w:rPr>
              <w:t>1</w:t>
            </w:r>
            <w:r>
              <w:rPr>
                <w:rFonts w:hint="eastAsia" w:ascii="宋体" w:hAnsi="宋体" w:cs="宋体"/>
                <w:szCs w:val="21"/>
              </w:rPr>
              <w:t>～</w:t>
            </w:r>
            <w:r>
              <w:rPr>
                <w:rFonts w:ascii="宋体" w:hAnsi="宋体" w:cs="宋体"/>
                <w:szCs w:val="21"/>
              </w:rPr>
              <w:t>3</w:t>
            </w:r>
            <w:r>
              <w:rPr>
                <w:rFonts w:hint="eastAsia" w:ascii="宋体" w:hAnsi="宋体" w:cs="宋体"/>
                <w:szCs w:val="21"/>
              </w:rPr>
              <w:t>分。</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9E90331">
            <w:pPr>
              <w:snapToGrid w:val="0"/>
              <w:spacing w:line="288" w:lineRule="auto"/>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4C3B9664">
            <w:pPr>
              <w:snapToGrid w:val="0"/>
              <w:spacing w:line="288" w:lineRule="auto"/>
              <w:jc w:val="center"/>
              <w:rPr>
                <w:rFonts w:ascii="宋体" w:hAnsi="宋体"/>
                <w:szCs w:val="21"/>
              </w:rPr>
            </w:pPr>
            <w:r>
              <w:rPr>
                <w:rFonts w:ascii="宋体" w:hAnsi="宋体"/>
                <w:szCs w:val="21"/>
              </w:rPr>
              <w:t>5</w:t>
            </w:r>
            <w:r>
              <w:rPr>
                <w:rFonts w:hint="eastAsia" w:ascii="宋体" w:hAnsi="宋体"/>
                <w:szCs w:val="21"/>
              </w:rPr>
              <w:t>分</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3163B75">
            <w:pPr>
              <w:snapToGrid w:val="0"/>
              <w:spacing w:line="360" w:lineRule="auto"/>
              <w:rPr>
                <w:rFonts w:ascii="宋体" w:hAnsi="宋体"/>
                <w:szCs w:val="21"/>
              </w:rPr>
            </w:pPr>
            <w:r>
              <w:rPr>
                <w:rFonts w:hint="eastAsia" w:ascii="宋体" w:hAnsi="宋体"/>
                <w:szCs w:val="21"/>
              </w:rPr>
              <w:t>核查工程实体及过程资料。</w:t>
            </w:r>
          </w:p>
        </w:tc>
      </w:tr>
      <w:tr w14:paraId="440B9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14:paraId="3B1D5AA6">
            <w:pPr>
              <w:snapToGrid w:val="0"/>
              <w:spacing w:line="288" w:lineRule="auto"/>
              <w:jc w:val="center"/>
              <w:rPr>
                <w:rFonts w:ascii="宋体" w:hAnsi="宋体"/>
                <w:szCs w:val="21"/>
              </w:rPr>
            </w:pPr>
            <w:r>
              <w:rPr>
                <w:rFonts w:hint="eastAsia" w:ascii="宋体" w:hAnsi="宋体"/>
                <w:szCs w:val="21"/>
              </w:rPr>
              <w:t>4</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6A588946">
            <w:pPr>
              <w:snapToGrid w:val="0"/>
              <w:spacing w:line="360" w:lineRule="auto"/>
              <w:jc w:val="center"/>
              <w:rPr>
                <w:rFonts w:ascii="宋体" w:hAnsi="宋体"/>
                <w:szCs w:val="21"/>
              </w:rPr>
            </w:pPr>
            <w:r>
              <w:rPr>
                <w:rFonts w:hint="eastAsia" w:ascii="宋体" w:hAnsi="宋体"/>
                <w:szCs w:val="21"/>
              </w:rPr>
              <w:t>宜居性与</w:t>
            </w:r>
          </w:p>
          <w:p w14:paraId="5BC3202D">
            <w:pPr>
              <w:snapToGrid w:val="0"/>
              <w:spacing w:line="360" w:lineRule="auto"/>
              <w:jc w:val="center"/>
              <w:rPr>
                <w:rFonts w:ascii="宋体" w:hAnsi="宋体"/>
                <w:szCs w:val="21"/>
              </w:rPr>
            </w:pPr>
            <w:r>
              <w:rPr>
                <w:rFonts w:hint="eastAsia" w:ascii="宋体" w:hAnsi="宋体"/>
                <w:szCs w:val="21"/>
              </w:rPr>
              <w:t>适老性</w:t>
            </w:r>
          </w:p>
        </w:tc>
        <w:tc>
          <w:tcPr>
            <w:tcW w:w="4961" w:type="dxa"/>
            <w:tcBorders>
              <w:top w:val="single" w:color="auto" w:sz="4" w:space="0"/>
              <w:left w:val="single" w:color="auto" w:sz="4" w:space="0"/>
              <w:bottom w:val="single" w:color="auto" w:sz="4" w:space="0"/>
              <w:right w:val="single" w:color="auto" w:sz="4" w:space="0"/>
            </w:tcBorders>
            <w:noWrap w:val="0"/>
            <w:vAlign w:val="center"/>
          </w:tcPr>
          <w:p w14:paraId="6C44CC1C">
            <w:pPr>
              <w:pStyle w:val="6"/>
              <w:snapToGrid w:val="0"/>
              <w:spacing w:line="360" w:lineRule="auto"/>
              <w:ind w:firstLine="0" w:firstLineChars="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设计理念人性化，材料选用、色彩搭配、观感效果以及装饰施工精细程度较佳、室内无异味；</w:t>
            </w:r>
          </w:p>
          <w:p w14:paraId="533FC21F">
            <w:pPr>
              <w:pStyle w:val="6"/>
              <w:snapToGrid w:val="0"/>
              <w:spacing w:line="360" w:lineRule="auto"/>
              <w:ind w:firstLine="0" w:firstLineChars="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居住安全措施周全、房间布局合理、空间利用率高、使用方便、舒适宜居、易于老年人居住、生活、康养</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070A13B">
            <w:pPr>
              <w:snapToGrid w:val="0"/>
              <w:spacing w:line="360" w:lineRule="auto"/>
              <w:rPr>
                <w:rFonts w:ascii="宋体" w:hAnsi="宋体" w:cs="宋体"/>
                <w:szCs w:val="21"/>
              </w:rPr>
            </w:pPr>
            <w:r>
              <w:rPr>
                <w:rFonts w:hint="eastAsia" w:ascii="宋体" w:hAnsi="宋体" w:cs="宋体"/>
                <w:szCs w:val="21"/>
              </w:rPr>
              <w:t>1.人性化设计、色彩搭配、观感效果等欠佳扣1～3分；</w:t>
            </w:r>
          </w:p>
          <w:p w14:paraId="7EAA92E2">
            <w:pPr>
              <w:snapToGrid w:val="0"/>
              <w:spacing w:line="360" w:lineRule="auto"/>
              <w:rPr>
                <w:rFonts w:ascii="宋体" w:hAnsi="宋体" w:cs="宋体"/>
                <w:szCs w:val="21"/>
              </w:rPr>
            </w:pPr>
            <w:r>
              <w:rPr>
                <w:rFonts w:hint="eastAsia" w:ascii="宋体" w:hAnsi="宋体" w:cs="宋体"/>
                <w:szCs w:val="21"/>
              </w:rPr>
              <w:t>2.宜居性、适老性、无障碍措施欠佳的，扣</w:t>
            </w:r>
            <w:r>
              <w:rPr>
                <w:rFonts w:ascii="宋体" w:hAnsi="宋体" w:cs="宋体"/>
                <w:szCs w:val="21"/>
              </w:rPr>
              <w:t>1</w:t>
            </w:r>
            <w:r>
              <w:rPr>
                <w:rFonts w:hint="eastAsia" w:ascii="宋体" w:hAnsi="宋体" w:cs="宋体"/>
                <w:szCs w:val="21"/>
              </w:rPr>
              <w:t>～5分。</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0697A6C">
            <w:pPr>
              <w:snapToGrid w:val="0"/>
              <w:spacing w:line="288" w:lineRule="auto"/>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4DD11B22">
            <w:pPr>
              <w:snapToGrid w:val="0"/>
              <w:spacing w:line="288" w:lineRule="auto"/>
              <w:jc w:val="center"/>
              <w:rPr>
                <w:rFonts w:ascii="宋体" w:hAnsi="宋体"/>
                <w:szCs w:val="21"/>
              </w:rPr>
            </w:pPr>
            <w:r>
              <w:rPr>
                <w:rFonts w:hint="eastAsia" w:ascii="宋体" w:hAnsi="宋体"/>
                <w:szCs w:val="21"/>
              </w:rPr>
              <w:t>5分</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BA41B12">
            <w:pPr>
              <w:snapToGrid w:val="0"/>
              <w:spacing w:line="360" w:lineRule="auto"/>
              <w:rPr>
                <w:rFonts w:ascii="宋体" w:hAnsi="宋体"/>
                <w:szCs w:val="21"/>
              </w:rPr>
            </w:pPr>
            <w:r>
              <w:rPr>
                <w:rFonts w:hint="eastAsia" w:ascii="宋体" w:hAnsi="宋体"/>
                <w:szCs w:val="21"/>
              </w:rPr>
              <w:t>通过实体复查综合判断人性化设计以及居住、观感、施工精细程度等情况；</w:t>
            </w:r>
          </w:p>
        </w:tc>
      </w:tr>
      <w:tr w14:paraId="1782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14:paraId="6639E903">
            <w:pPr>
              <w:snapToGrid w:val="0"/>
              <w:spacing w:line="288" w:lineRule="auto"/>
              <w:jc w:val="center"/>
              <w:rPr>
                <w:rFonts w:ascii="宋体" w:hAnsi="宋体"/>
                <w:szCs w:val="21"/>
              </w:rPr>
            </w:pPr>
            <w:r>
              <w:rPr>
                <w:rFonts w:hint="eastAsia" w:ascii="宋体" w:hAnsi="宋体"/>
                <w:szCs w:val="21"/>
              </w:rPr>
              <w:t>5</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3963A6C3">
            <w:pPr>
              <w:snapToGrid w:val="0"/>
              <w:spacing w:line="360" w:lineRule="auto"/>
              <w:jc w:val="center"/>
              <w:rPr>
                <w:rFonts w:ascii="宋体" w:hAnsi="宋体"/>
                <w:szCs w:val="21"/>
              </w:rPr>
            </w:pPr>
            <w:r>
              <w:rPr>
                <w:rFonts w:hint="eastAsia" w:ascii="宋体" w:hAnsi="宋体"/>
                <w:szCs w:val="21"/>
              </w:rPr>
              <w:t>总体印象</w:t>
            </w:r>
          </w:p>
        </w:tc>
        <w:tc>
          <w:tcPr>
            <w:tcW w:w="4961" w:type="dxa"/>
            <w:tcBorders>
              <w:top w:val="single" w:color="auto" w:sz="4" w:space="0"/>
              <w:left w:val="single" w:color="auto" w:sz="4" w:space="0"/>
              <w:bottom w:val="single" w:color="auto" w:sz="4" w:space="0"/>
              <w:right w:val="single" w:color="auto" w:sz="4" w:space="0"/>
            </w:tcBorders>
            <w:noWrap w:val="0"/>
            <w:vAlign w:val="center"/>
          </w:tcPr>
          <w:p w14:paraId="5E7D4A19">
            <w:pPr>
              <w:pStyle w:val="6"/>
              <w:snapToGrid w:val="0"/>
              <w:spacing w:line="360" w:lineRule="auto"/>
              <w:ind w:firstLine="0" w:firstLineChars="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组织工作准备充分，人员到位（项目经理或执行经理、技术负责人和资料员等相关人员应到场），汇报PPT内容重点突出、简单明了；</w:t>
            </w:r>
          </w:p>
          <w:p w14:paraId="4F1D6AA5">
            <w:pPr>
              <w:pStyle w:val="6"/>
              <w:snapToGrid w:val="0"/>
              <w:spacing w:line="360" w:lineRule="auto"/>
              <w:ind w:firstLine="0" w:firstLineChars="0"/>
              <w:rPr>
                <w:rFonts w:ascii="宋体" w:hAnsi="宋体"/>
                <w:szCs w:val="21"/>
              </w:rPr>
            </w:pPr>
            <w:r>
              <w:rPr>
                <w:rFonts w:ascii="宋体" w:hAnsi="宋体"/>
                <w:szCs w:val="21"/>
              </w:rPr>
              <w:t>2.</w:t>
            </w:r>
            <w:r>
              <w:rPr>
                <w:rFonts w:hint="eastAsia" w:ascii="宋体" w:hAnsi="宋体"/>
                <w:szCs w:val="21"/>
              </w:rPr>
              <w:t>资料准备充分有序，易于查找；</w:t>
            </w:r>
          </w:p>
          <w:p w14:paraId="5C050ED1">
            <w:pPr>
              <w:snapToGrid w:val="0"/>
              <w:spacing w:line="360"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建设单位意见；</w:t>
            </w:r>
          </w:p>
          <w:p w14:paraId="6087EB43">
            <w:pPr>
              <w:pStyle w:val="6"/>
              <w:snapToGrid w:val="0"/>
              <w:spacing w:line="360" w:lineRule="auto"/>
              <w:ind w:firstLine="0" w:firstLineChars="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工程实体检查顺畅不受阻。</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C15795A">
            <w:pPr>
              <w:pStyle w:val="6"/>
              <w:spacing w:line="360" w:lineRule="auto"/>
              <w:ind w:firstLine="0" w:firstLineChars="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组织工作、人员到位情况欠佳的扣1～5分；</w:t>
            </w:r>
          </w:p>
          <w:p w14:paraId="04FAC643">
            <w:pPr>
              <w:pStyle w:val="6"/>
              <w:snapToGrid w:val="0"/>
              <w:spacing w:line="360" w:lineRule="auto"/>
              <w:ind w:firstLine="0" w:firstLineChars="0"/>
              <w:rPr>
                <w:rFonts w:ascii="宋体" w:hAnsi="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其他问题扣1～3分</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0CBF9AB">
            <w:pPr>
              <w:snapToGrid w:val="0"/>
              <w:spacing w:line="288" w:lineRule="auto"/>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1CB3A7A9">
            <w:pPr>
              <w:snapToGrid w:val="0"/>
              <w:spacing w:line="288" w:lineRule="auto"/>
              <w:jc w:val="center"/>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分</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4EB9C24">
            <w:pPr>
              <w:snapToGrid w:val="0"/>
              <w:spacing w:line="276" w:lineRule="auto"/>
              <w:rPr>
                <w:rFonts w:ascii="宋体" w:hAnsi="宋体"/>
                <w:szCs w:val="21"/>
              </w:rPr>
            </w:pPr>
            <w:r>
              <w:rPr>
                <w:rFonts w:hint="eastAsia" w:ascii="宋体" w:hAnsi="宋体"/>
                <w:szCs w:val="21"/>
              </w:rPr>
              <w:t>查：</w:t>
            </w:r>
          </w:p>
          <w:p w14:paraId="643C861E">
            <w:pPr>
              <w:snapToGrid w:val="0"/>
              <w:spacing w:line="276" w:lineRule="auto"/>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组织准备情况；</w:t>
            </w:r>
          </w:p>
          <w:p w14:paraId="180C084C">
            <w:pPr>
              <w:snapToGrid w:val="0"/>
              <w:spacing w:line="276" w:lineRule="auto"/>
              <w:rPr>
                <w:rFonts w:ascii="宋体" w:hAnsi="宋体"/>
                <w:szCs w:val="21"/>
              </w:rPr>
            </w:pPr>
            <w:r>
              <w:rPr>
                <w:rFonts w:ascii="宋体" w:hAnsi="宋体"/>
                <w:szCs w:val="21"/>
              </w:rPr>
              <w:t>2.</w:t>
            </w:r>
            <w:r>
              <w:rPr>
                <w:rFonts w:hint="eastAsia" w:ascii="宋体" w:hAnsi="宋体"/>
                <w:szCs w:val="21"/>
              </w:rPr>
              <w:t>PPT（项目概况、施工范围、重点难点亮点、施工过程中情况照片等，汇报时间10分钟内）；</w:t>
            </w:r>
          </w:p>
          <w:p w14:paraId="140CABE9">
            <w:pPr>
              <w:snapToGrid w:val="0"/>
              <w:spacing w:line="276"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建设单位意见。</w:t>
            </w:r>
          </w:p>
        </w:tc>
      </w:tr>
    </w:tbl>
    <w:p w14:paraId="089048DA">
      <w:pPr>
        <w:numPr>
          <w:numId w:val="0"/>
        </w:numPr>
        <w:rPr>
          <w:rFonts w:hint="eastAsia" w:asciiTheme="minorEastAsia" w:hAnsiTheme="minorEastAsia" w:eastAsiaTheme="minorEastAsia" w:cstheme="minorEastAsia"/>
          <w:spacing w:val="-6"/>
          <w:kern w:val="0"/>
          <w:sz w:val="30"/>
          <w:szCs w:val="30"/>
        </w:rPr>
      </w:pPr>
      <w:bookmarkStart w:id="13" w:name="_GoBack"/>
      <w:bookmarkEnd w:id="13"/>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8326B">
    <w:pPr>
      <w:pStyle w:val="3"/>
      <w:ind w:right="360"/>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4684EF">
                          <w:pPr>
                            <w:pStyle w:val="3"/>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- 30 -</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C4684EF">
                    <w:pPr>
                      <w:pStyle w:val="3"/>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- 30 -</w:t>
                    </w:r>
                    <w:r>
                      <w:rPr>
                        <w:rFonts w:hint="eastAsia" w:ascii="仿宋" w:hAnsi="仿宋" w:eastAsia="仿宋" w:cs="仿宋"/>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3786E">
    <w:pPr>
      <w:pStyle w:val="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3BC0DE">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- 15 -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B3BC0DE">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- 15 -</w:t>
                    </w:r>
                    <w:r>
                      <w:rPr>
                        <w:rFonts w:hint="eastAsia" w:ascii="仿宋_GB2312" w:hAnsi="仿宋_GB2312" w:eastAsia="仿宋_GB2312" w:cs="仿宋_GB2312"/>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CCCF0">
    <w:pPr>
      <w:pStyle w:val="3"/>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A4A8F3">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- 16 -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27A4A8F3">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- 16 -</w:t>
                    </w:r>
                    <w:r>
                      <w:rPr>
                        <w:rFonts w:hint="eastAsia" w:ascii="仿宋_GB2312" w:hAnsi="仿宋_GB2312" w:eastAsia="仿宋_GB2312" w:cs="仿宋_GB2312"/>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8240E">
    <w:pPr>
      <w:pStyle w:val="3"/>
      <w:ind w:right="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268403">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- 17 -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9268403">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- 17 -</w:t>
                    </w:r>
                    <w:r>
                      <w:rPr>
                        <w:rFonts w:hint="eastAsia" w:ascii="仿宋_GB2312" w:hAnsi="仿宋_GB2312" w:eastAsia="仿宋_GB2312" w:cs="仿宋_GB2312"/>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20541">
    <w:pPr>
      <w:pStyle w:val="3"/>
      <w:ind w:right="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B73473">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- 29 -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2DB73473">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- 29 -</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158476"/>
    <w:multiLevelType w:val="singleLevel"/>
    <w:tmpl w:val="B2158476"/>
    <w:lvl w:ilvl="0" w:tentative="0">
      <w:start w:val="3"/>
      <w:numFmt w:val="chineseCounting"/>
      <w:suff w:val="nothing"/>
      <w:lvlText w:val="%1、"/>
      <w:lvlJc w:val="left"/>
      <w:rPr>
        <w:rFonts w:hint="eastAsia"/>
      </w:rPr>
    </w:lvl>
  </w:abstractNum>
  <w:abstractNum w:abstractNumId="1">
    <w:nsid w:val="454CB9BE"/>
    <w:multiLevelType w:val="singleLevel"/>
    <w:tmpl w:val="454CB9BE"/>
    <w:lvl w:ilvl="0" w:tentative="0">
      <w:start w:val="1"/>
      <w:numFmt w:val="decimal"/>
      <w:suff w:val="space"/>
      <w:lvlText w:val="%1."/>
      <w:lvlJc w:val="left"/>
    </w:lvl>
  </w:abstractNum>
  <w:abstractNum w:abstractNumId="2">
    <w:nsid w:val="485E727A"/>
    <w:multiLevelType w:val="multilevel"/>
    <w:tmpl w:val="485E727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hOWFlMjVkNzk1ZmE1ZGFmZTc3Yjg1YjAxOTI2Y2IifQ=="/>
  </w:docVars>
  <w:rsids>
    <w:rsidRoot w:val="3B6774EF"/>
    <w:rsid w:val="05490FE9"/>
    <w:rsid w:val="0A6A2374"/>
    <w:rsid w:val="27163A82"/>
    <w:rsid w:val="2B7D7201"/>
    <w:rsid w:val="3B6774EF"/>
    <w:rsid w:val="6EEE5A09"/>
    <w:rsid w:val="757D1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outlineLvl w:val="2"/>
    </w:pPr>
    <w:rPr>
      <w:sz w:val="32"/>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7910</Words>
  <Characters>9073</Characters>
  <Lines>0</Lines>
  <Paragraphs>0</Paragraphs>
  <TotalTime>0</TotalTime>
  <ScaleCrop>false</ScaleCrop>
  <LinksUpToDate>false</LinksUpToDate>
  <CharactersWithSpaces>9187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2025-05-15T07:49:00Z</dcterms:created>
  <dc:creator>13363</dc:creator>
  <cp:lastModifiedBy>Administrator</cp:lastModifiedBy>
  <dcterms:modified xsi:type="dcterms:W3CDTF">2025-05-23T05:09:01Z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C06870699BB34888BFA265623C389176_13</vt:lpwstr>
  </property>
  <property fmtid="{D5CDD505-2E9C-101B-9397-08002B2CF9AE}" pid="4" name="KSOTemplateDocerSaveRecord">
    <vt:lpwstr>eyJoZGlkIjoiNjE2MjljZjY2MWU4YTIzMmIxMjA4ZDU1OWQ2MWI0YTcifQ==</vt:lpwstr>
  </property>
</Properties>
</file>