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96FA1">
      <w:pPr>
        <w:snapToGrid w:val="0"/>
        <w:spacing w:line="360" w:lineRule="auto"/>
        <w:jc w:val="left"/>
        <w:rPr>
          <w:rFonts w:hint="eastAsia" w:ascii="黑体" w:hAnsi="黑体" w:eastAsia="黑体" w:cs="黑体"/>
          <w:spacing w:val="-4"/>
          <w:sz w:val="32"/>
          <w:szCs w:val="32"/>
          <w:lang w:eastAsia="zh-CN"/>
        </w:rPr>
      </w:pPr>
      <w:r>
        <w:rPr>
          <w:rFonts w:hint="eastAsia" w:ascii="黑体" w:hAnsi="黑体" w:eastAsia="黑体" w:cs="黑体"/>
          <w:spacing w:val="-4"/>
          <w:sz w:val="32"/>
          <w:szCs w:val="32"/>
        </w:rPr>
        <w:t>附件</w:t>
      </w:r>
      <w:r>
        <w:rPr>
          <w:rFonts w:hint="eastAsia" w:ascii="黑体" w:hAnsi="黑体" w:eastAsia="黑体" w:cs="黑体"/>
          <w:spacing w:val="-4"/>
          <w:sz w:val="32"/>
          <w:szCs w:val="32"/>
          <w:lang w:eastAsia="zh-CN"/>
        </w:rPr>
        <w:t>三</w:t>
      </w:r>
    </w:p>
    <w:p w14:paraId="1A85577B">
      <w:pPr>
        <w:keepNext w:val="0"/>
        <w:keepLines w:val="0"/>
        <w:pageBreakBefore w:val="0"/>
        <w:widowControl w:val="0"/>
        <w:kinsoku/>
        <w:wordWrap/>
        <w:overflowPunct/>
        <w:topLinePunct w:val="0"/>
        <w:autoSpaceDE/>
        <w:autoSpaceDN/>
        <w:bidi w:val="0"/>
        <w:adjustRightInd w:val="0"/>
        <w:snapToGrid/>
        <w:ind w:right="0"/>
        <w:jc w:val="center"/>
        <w:textAlignment w:val="auto"/>
        <w:rPr>
          <w:rFonts w:hint="eastAsia" w:ascii="方正小标宋简体" w:hAnsi="方正小标宋简体" w:eastAsia="方正小标宋简体" w:cs="方正小标宋简体"/>
          <w:snapToGrid w:val="0"/>
          <w:spacing w:val="0"/>
          <w:kern w:val="0"/>
          <w:sz w:val="36"/>
          <w:szCs w:val="36"/>
        </w:rPr>
      </w:pPr>
      <w:r>
        <w:rPr>
          <w:rFonts w:hint="eastAsia" w:ascii="方正小标宋简体" w:hAnsi="方正小标宋简体" w:eastAsia="方正小标宋简体" w:cs="方正小标宋简体"/>
          <w:snapToGrid w:val="0"/>
          <w:spacing w:val="0"/>
          <w:kern w:val="0"/>
          <w:sz w:val="36"/>
          <w:szCs w:val="36"/>
          <w:lang w:eastAsia="zh-CN"/>
        </w:rPr>
        <w:t>河北省建筑装饰优质</w:t>
      </w:r>
      <w:r>
        <w:rPr>
          <w:rFonts w:hint="eastAsia" w:ascii="方正小标宋简体" w:hAnsi="方正小标宋简体" w:eastAsia="方正小标宋简体" w:cs="方正小标宋简体"/>
          <w:snapToGrid w:val="0"/>
          <w:spacing w:val="0"/>
          <w:kern w:val="0"/>
          <w:sz w:val="36"/>
          <w:szCs w:val="36"/>
        </w:rPr>
        <w:t>工程复查实施细则</w:t>
      </w:r>
    </w:p>
    <w:p w14:paraId="44D664B6">
      <w:pPr>
        <w:snapToGrid w:val="0"/>
        <w:spacing w:line="360" w:lineRule="auto"/>
        <w:jc w:val="center"/>
        <w:rPr>
          <w:rFonts w:ascii="宋体" w:hAnsi="宋体"/>
          <w:spacing w:val="-4"/>
          <w:sz w:val="30"/>
          <w:szCs w:val="30"/>
        </w:rPr>
      </w:pPr>
      <w:r>
        <w:rPr>
          <w:rFonts w:hint="eastAsia" w:ascii="宋体" w:hAnsi="宋体"/>
          <w:spacing w:val="-4"/>
          <w:sz w:val="30"/>
          <w:szCs w:val="30"/>
        </w:rPr>
        <w:t>建筑幕墙类（建筑幕墙工程）</w:t>
      </w:r>
    </w:p>
    <w:p w14:paraId="0A36875C">
      <w:pPr>
        <w:adjustRightInd w:val="0"/>
        <w:snapToGrid w:val="0"/>
        <w:spacing w:line="360" w:lineRule="auto"/>
        <w:jc w:val="center"/>
        <w:rPr>
          <w:rFonts w:eastAsia="黑体"/>
          <w:b/>
          <w:bCs/>
          <w:szCs w:val="28"/>
        </w:rPr>
      </w:pPr>
    </w:p>
    <w:p w14:paraId="6DF4D09E">
      <w:p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0" w:name="_Toc857"/>
      <w:r>
        <w:rPr>
          <w:rFonts w:hint="eastAsia" w:asciiTheme="minorEastAsia" w:hAnsiTheme="minorEastAsia" w:eastAsiaTheme="minorEastAsia" w:cstheme="minorEastAsia"/>
          <w:bCs/>
          <w:sz w:val="30"/>
          <w:szCs w:val="30"/>
        </w:rPr>
        <w:t>一、评分标准及要求：</w:t>
      </w:r>
      <w:bookmarkEnd w:id="0"/>
    </w:p>
    <w:p w14:paraId="4E34AC0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建筑幕墙类（含主承建和并列承建）：工程合同金额或结算金额不低于500万元人民币（不含设备</w:t>
      </w:r>
      <w:bookmarkStart w:id="7" w:name="_GoBack"/>
      <w:bookmarkEnd w:id="7"/>
      <w:r>
        <w:rPr>
          <w:rFonts w:hint="eastAsia" w:asciiTheme="minorEastAsia" w:hAnsiTheme="minorEastAsia" w:eastAsiaTheme="minorEastAsia" w:cstheme="minorEastAsia"/>
          <w:sz w:val="30"/>
          <w:szCs w:val="30"/>
        </w:rPr>
        <w:t>购置和安装费用）且面积不低于5000㎡（金属屋面（含采光顶）面积不低于</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0000㎡），建筑幕墙面积应大于立面外围护结构面积的60%。鉴于复查项目的工程性质、类别、规模、使用的材料、采用的工艺等各方面差别较大，故复查工程的评分采用扣分法，本细则重点列出了在资料（必要文件、计算书、质量管理资料、图纸）、工程实体、新技术、总体印象等几个方面的常见问题、质量通病和涉及安全与使用的问题，结合复查中查出的问题进行评分。项目复查总分为100分，建议推荐得分在80分以上的项目，详细分项和评分标准见《工程复查实施细则——建筑幕墙类（建筑幕墙工程）》。</w:t>
      </w:r>
    </w:p>
    <w:p w14:paraId="7F644E4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工程复查实施细则——建筑幕墙类（建筑幕墙工程）》中所列均为工程复查的必查和主查内容，各复查小组可根据项目实际情况做必要的补充和调整，但必查内容不可取消。复查评分严格按照各项要求及分值进行复查评分，并将各大项评分记录在申报表工程复查表中。</w:t>
      </w:r>
    </w:p>
    <w:p w14:paraId="6052153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w:t>
      </w:r>
      <w:r>
        <w:rPr>
          <w:rFonts w:hint="eastAsia" w:asciiTheme="minorEastAsia" w:hAnsiTheme="minorEastAsia" w:eastAsiaTheme="minorEastAsia" w:cstheme="minorEastAsia"/>
          <w:sz w:val="30"/>
          <w:szCs w:val="30"/>
          <w:lang w:eastAsia="zh-CN"/>
        </w:rPr>
        <w:t>河北省建筑装饰优质工程</w:t>
      </w:r>
      <w:r>
        <w:rPr>
          <w:rFonts w:hint="eastAsia" w:asciiTheme="minorEastAsia" w:hAnsiTheme="minorEastAsia" w:eastAsiaTheme="minorEastAsia" w:cstheme="minorEastAsia"/>
          <w:sz w:val="30"/>
          <w:szCs w:val="30"/>
        </w:rPr>
        <w:t>的单位需重视对工程安全隐患的排查及相关必要文件的准备，要求企业申报前对涉及安全、结构、热工、防火、隐蔽资料等方面的情况进行自查，使其符合相应的国家强制性规范和标准以及复查要求。</w:t>
      </w:r>
    </w:p>
    <w:p w14:paraId="54E8E714">
      <w:pPr>
        <w:adjustRightInd w:val="0"/>
        <w:snapToGrid w:val="0"/>
        <w:spacing w:line="360" w:lineRule="auto"/>
        <w:ind w:firstLine="600" w:firstLineChars="200"/>
        <w:outlineLvl w:val="1"/>
        <w:rPr>
          <w:rFonts w:hint="eastAsia" w:asciiTheme="minorEastAsia" w:hAnsiTheme="minorEastAsia" w:eastAsiaTheme="minorEastAsia" w:cstheme="minorEastAsia"/>
          <w:sz w:val="30"/>
          <w:szCs w:val="30"/>
        </w:rPr>
      </w:pPr>
      <w:bookmarkStart w:id="1" w:name="_Toc23868"/>
      <w:r>
        <w:rPr>
          <w:rFonts w:hint="eastAsia" w:asciiTheme="minorEastAsia" w:hAnsiTheme="minorEastAsia" w:eastAsiaTheme="minorEastAsia" w:cstheme="minorEastAsia"/>
          <w:sz w:val="30"/>
          <w:szCs w:val="30"/>
        </w:rPr>
        <w:t>二、需要说明与注意的问题</w:t>
      </w:r>
      <w:bookmarkEnd w:id="1"/>
    </w:p>
    <w:p w14:paraId="7EF9A5C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1.当原设计单位出具的热工计算书、结构计算书对照复查要求有遗漏、不充分时，具有幕墙设计资质的申报单位可以自行补充完善，补充文件上计算及校审人员应签字手续齐全、加盖设计图章。</w:t>
      </w:r>
    </w:p>
    <w:p w14:paraId="5F20C93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竣工图是工程竣工后，真实反映工程施工结果的图样。工程无变更或变更不大的，可以在原有施工图上加盖竣工图章、将变更内容直接改绘在原施工图上，形成竣工图。工程变更较大的，可另外绘制修改图并注明修改部位、修改依据等，加盖原设计单位图章和竣工图章，形成竣工图。竣工图纸应是蓝图，也可以是激光打印白图，不得使用复印的白图。</w:t>
      </w:r>
    </w:p>
    <w:p w14:paraId="4705193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住房和城乡建设部与国家安监总局联合发文的建标[2015]38号文件要求：在新建住宅、党政机关办公楼、医院门诊急诊楼和病房楼、中小学校、托儿所、幼儿园、老年人建筑，这七类建筑的二层及以上不得采用玻璃幕墙。在人员密集、流动性大的商业中心，交通枢纽，公共文化体育设施等场所，临近道路、广场及下部为出入口、人员通道的建筑，严禁采用全隐框玻璃幕墙。</w:t>
      </w:r>
    </w:p>
    <w:p w14:paraId="7E22111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4.质量管理资料中，幕墙的主要材料指：龙骨、面材、连接件、埋件、紧固件、后置锚栓、背栓、结构胶、耐候密封胶、防火密封胶、石材干挂胶、防火保温材料、密封胶条、五金件等。</w:t>
      </w:r>
    </w:p>
    <w:p w14:paraId="5E696F70">
      <w:pPr>
        <w:adjustRightInd w:val="0"/>
        <w:snapToGrid w:val="0"/>
        <w:spacing w:line="360" w:lineRule="auto"/>
        <w:ind w:firstLine="600" w:firstLineChars="200"/>
        <w:rPr>
          <w:rFonts w:hint="eastAsia" w:asciiTheme="minorEastAsia" w:hAnsiTheme="minorEastAsia" w:eastAsiaTheme="minorEastAsia" w:cstheme="minorEastAsia"/>
          <w:spacing w:val="-6"/>
          <w:sz w:val="30"/>
          <w:szCs w:val="30"/>
        </w:rPr>
      </w:pPr>
      <w:r>
        <w:rPr>
          <w:rFonts w:hint="eastAsia" w:asciiTheme="minorEastAsia" w:hAnsiTheme="minorEastAsia" w:eastAsiaTheme="minorEastAsia" w:cstheme="minorEastAsia"/>
          <w:sz w:val="30"/>
          <w:szCs w:val="30"/>
        </w:rPr>
        <w:t>5.</w:t>
      </w:r>
      <w:r>
        <w:rPr>
          <w:rFonts w:hint="eastAsia" w:asciiTheme="minorEastAsia" w:hAnsiTheme="minorEastAsia" w:eastAsiaTheme="minorEastAsia" w:cstheme="minorEastAsia"/>
          <w:spacing w:val="-6"/>
          <w:sz w:val="30"/>
          <w:szCs w:val="30"/>
        </w:rPr>
        <w:t>结构胶打胶工序外协加工的，结构胶的相容性、粘结性试验报告，结构胶打胶记录、蝴蝶试验记录、养护记录等相关记录与试验报告可提供加盖外协厂家公章的影印件。</w:t>
      </w:r>
    </w:p>
    <w:p w14:paraId="43D1CA4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6.新技术包括但不限于预应力技术、3D打印技术、预制混凝土外墙挂板技术、索结构应用技术、装配式幕墙等。新工艺包括拥有省级及以上工法或发表专业技术论文等。</w:t>
      </w:r>
    </w:p>
    <w:p w14:paraId="10362045">
      <w:pPr>
        <w:adjustRightInd w:val="0"/>
        <w:snapToGrid w:val="0"/>
        <w:spacing w:line="360" w:lineRule="auto"/>
        <w:ind w:firstLine="600" w:firstLineChars="200"/>
        <w:outlineLvl w:val="1"/>
        <w:rPr>
          <w:rFonts w:hint="eastAsia" w:asciiTheme="minorEastAsia" w:hAnsiTheme="minorEastAsia" w:eastAsiaTheme="minorEastAsia" w:cstheme="minorEastAsia"/>
          <w:bCs/>
          <w:sz w:val="30"/>
          <w:szCs w:val="30"/>
        </w:rPr>
      </w:pPr>
      <w:bookmarkStart w:id="2" w:name="_Toc24242"/>
      <w:r>
        <w:rPr>
          <w:rFonts w:hint="eastAsia" w:asciiTheme="minorEastAsia" w:hAnsiTheme="minorEastAsia" w:eastAsiaTheme="minorEastAsia" w:cstheme="minorEastAsia"/>
          <w:bCs/>
          <w:sz w:val="30"/>
          <w:szCs w:val="30"/>
        </w:rPr>
        <w:t>三、主要执行规范和标准：</w:t>
      </w:r>
      <w:bookmarkEnd w:id="2"/>
    </w:p>
    <w:p w14:paraId="5AD34BC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1.《房屋建筑制图统一标准》GB/T50001-2017</w:t>
      </w:r>
    </w:p>
    <w:p w14:paraId="21AB3F3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2.《民用建筑设计统一标准》GB50352-2019</w:t>
      </w:r>
    </w:p>
    <w:p w14:paraId="3557DE6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3.《建筑设计防火规范》GB50016-2014（2018年修订版）</w:t>
      </w:r>
    </w:p>
    <w:p w14:paraId="7ADC541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4.《公共建筑节能设计标准》GB50189-2015</w:t>
      </w:r>
    </w:p>
    <w:p w14:paraId="4725247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5.《建筑物防雷设计规范》GB50057-2010</w:t>
      </w:r>
    </w:p>
    <w:p w14:paraId="451D52E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6.《建筑幕墙空气声隔声性能分级及检测方法》GB/T39526-2020</w:t>
      </w:r>
    </w:p>
    <w:p w14:paraId="02C7300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7.《建筑门窗幕墙用钢化玻璃》JG/T455-2014</w:t>
      </w:r>
    </w:p>
    <w:p w14:paraId="004F855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8.《建筑玻璃采光顶技术要求》JG/T231-2018</w:t>
      </w:r>
    </w:p>
    <w:p w14:paraId="15F3970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"javascript:;"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建筑幕墙耐撞击性能分级及检测方法</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》GB/T38264-2019</w:t>
      </w:r>
    </w:p>
    <w:p w14:paraId="57864EE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10.《建筑结构可靠性设计统一标准》GB50068-2018</w:t>
      </w:r>
    </w:p>
    <w:p w14:paraId="25E7BE8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11.《建筑结构荷载规范》GB50009-2012</w:t>
      </w:r>
    </w:p>
    <w:p w14:paraId="443C480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12.《建筑抗震设计规范》GB50011-2010（2016年修订版）</w:t>
      </w:r>
    </w:p>
    <w:p w14:paraId="050F8BE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13.《钢结构设计标准》GB50017-2017</w:t>
      </w:r>
    </w:p>
    <w:p w14:paraId="0F35A7D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14.《冷弯薄壁型钢结构技术规范》GB50018-2002</w:t>
      </w:r>
    </w:p>
    <w:p w14:paraId="3691BE3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15.《铝合金结构设计规范》GB50429-2007</w:t>
      </w:r>
    </w:p>
    <w:p w14:paraId="4B1EF37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16.《混凝土结构后锚固技术规程》JGJ145-2013</w:t>
      </w:r>
    </w:p>
    <w:p w14:paraId="569AB34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17.《中国地震烈度表》GB/T17742-2020</w:t>
      </w:r>
    </w:p>
    <w:p w14:paraId="6E7FC4B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18.《工程结构可靠性设计统一标准》GB50153-2008</w:t>
      </w:r>
    </w:p>
    <w:p w14:paraId="7327FEA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19.《建筑玻璃点支承装置》JG/T138-2010</w:t>
      </w:r>
    </w:p>
    <w:p w14:paraId="0245788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20.《建筑钢结构防腐蚀技术规程(附条文说明)》JGJ/T251-2011</w:t>
      </w:r>
    </w:p>
    <w:p w14:paraId="265B929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21.《钢结构工程施工规范》GB50755-2012</w:t>
      </w:r>
    </w:p>
    <w:p w14:paraId="7E075BC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22.《索结构技术规程》JGJ257-2012</w:t>
      </w:r>
    </w:p>
    <w:p w14:paraId="56DFF8F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23.《中国地震动参数区划图》GB18306-2015</w:t>
      </w:r>
    </w:p>
    <w:p w14:paraId="068EBC6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24.《玻璃幕墙工程技术规范》JGJ102-2003</w:t>
      </w:r>
    </w:p>
    <w:p w14:paraId="691ED06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25.《金属与石材幕墙工程技术规范》JGJ133-2001</w:t>
      </w:r>
    </w:p>
    <w:p w14:paraId="6CBBB15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26.《建筑幕墙》GB/T21086-2007</w:t>
      </w:r>
    </w:p>
    <w:p w14:paraId="298DD43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27.《玻璃幕墙光热性能》GB/T18091-2015</w:t>
      </w:r>
    </w:p>
    <w:p w14:paraId="2037C0D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28.《建筑玻璃应用技术规程》JG/J113-2015</w:t>
      </w:r>
    </w:p>
    <w:p w14:paraId="0EAB95C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29.《采光顶与金属屋面技术规程》JGJ/T255-2012</w:t>
      </w:r>
    </w:p>
    <w:p w14:paraId="5A54E28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30.《人造板材幕墙工程技术规范》JGJ336-2016</w:t>
      </w:r>
    </w:p>
    <w:p w14:paraId="7B521B3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31.《建筑玻璃幕墙粘接结构可靠性试验方法》GB/T34554-2017</w:t>
      </w:r>
    </w:p>
    <w:p w14:paraId="68533BA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32.《建筑采光顶气密、水密、抗风压性能检测方法》GB/T34555-2017</w:t>
      </w:r>
    </w:p>
    <w:p w14:paraId="56D9A09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33.《建筑幕墙术语》GB/T34327-2017</w:t>
      </w:r>
    </w:p>
    <w:p w14:paraId="4653F07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34.《屋面工程技术规范》GB50345－2012</w:t>
      </w:r>
    </w:p>
    <w:p w14:paraId="3041E0F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35.《玻璃幕墙工程质量检验标准》JGJ/T139-2020</w:t>
      </w:r>
    </w:p>
    <w:p w14:paraId="5841349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36.《建筑幕墙气密、水密、抗风压性能检测方法》GB/T15227-2019</w:t>
      </w:r>
    </w:p>
    <w:p w14:paraId="78C54D6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37.《建筑幕墙层间变形性能分级及检查方法》GB/T18250-2015</w:t>
      </w:r>
    </w:p>
    <w:p w14:paraId="49EA44C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38.《建筑外门窗气密、水密、抗风压性能检测方法》GB/T7106-2019</w:t>
      </w:r>
    </w:p>
    <w:p w14:paraId="2F5AAFB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39.《建筑外门窗保温性能检测方法》GB/T8484-2020</w:t>
      </w:r>
    </w:p>
    <w:p w14:paraId="78A8E32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40.《建筑门窗空气声隔声性能分级及检测方法》GB/T8485-2008</w:t>
      </w:r>
    </w:p>
    <w:p w14:paraId="402A8C0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41.《建筑外窗采光性能分级及检测方法》GB/T11976-2015</w:t>
      </w:r>
    </w:p>
    <w:p w14:paraId="477F1E1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42.《建筑门窗玻璃幕墙热工计算规程》JGJ/T151-2008</w:t>
      </w:r>
    </w:p>
    <w:p w14:paraId="0F4C9E95">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3" w:name="_Toc8802"/>
      <w:r>
        <w:rPr>
          <w:rFonts w:hint="eastAsia" w:asciiTheme="minorEastAsia" w:hAnsiTheme="minorEastAsia" w:eastAsiaTheme="minorEastAsia" w:cstheme="minorEastAsia"/>
          <w:sz w:val="30"/>
          <w:szCs w:val="30"/>
        </w:rPr>
        <w:t>43.《平板玻璃》GB11614-2009</w:t>
      </w:r>
      <w:bookmarkEnd w:id="3"/>
    </w:p>
    <w:p w14:paraId="243938D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44.《建筑用安全玻璃 第1部 防火玻璃》GB15763.1-2001 GB15763.1-2009</w:t>
      </w:r>
    </w:p>
    <w:p w14:paraId="7FA6BD4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45.《建筑用安全玻璃 第2部分：钢化玻璃》GB15763.2-2005</w:t>
      </w:r>
    </w:p>
    <w:p w14:paraId="33B2EE6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46.《建筑用安全玻璃 第3部 夹层玻璃》GB15763.3-2009</w:t>
      </w:r>
    </w:p>
    <w:p w14:paraId="0C30350D">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4" w:name="_Toc24262"/>
      <w:r>
        <w:rPr>
          <w:rFonts w:hint="eastAsia" w:asciiTheme="minorEastAsia" w:hAnsiTheme="minorEastAsia" w:eastAsiaTheme="minorEastAsia" w:cstheme="minorEastAsia"/>
          <w:sz w:val="30"/>
          <w:szCs w:val="30"/>
        </w:rPr>
        <w:t>47.《半钢化玻璃》GB/T17841-2008</w:t>
      </w:r>
      <w:bookmarkEnd w:id="4"/>
    </w:p>
    <w:p w14:paraId="72F50FED">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48.《镀膜玻璃 第1部分 阳光控制镀膜玻璃》GB/T18915.1-2013</w:t>
      </w:r>
    </w:p>
    <w:p w14:paraId="5F93D45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49.《镀膜玻璃 第2部分 低辐射镀膜玻璃》GB/T18915.2-2013</w:t>
      </w:r>
    </w:p>
    <w:p w14:paraId="7CDADB9E">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5" w:name="_Toc13360"/>
      <w:r>
        <w:rPr>
          <w:rFonts w:hint="eastAsia" w:asciiTheme="minorEastAsia" w:hAnsiTheme="minorEastAsia" w:eastAsiaTheme="minorEastAsia" w:cstheme="minorEastAsia"/>
          <w:sz w:val="30"/>
          <w:szCs w:val="30"/>
        </w:rPr>
        <w:t>50.《中空玻璃》GB/T11944-2012</w:t>
      </w:r>
      <w:bookmarkEnd w:id="5"/>
    </w:p>
    <w:p w14:paraId="49F0FE0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51.《铝合金建筑型材 第1部分：基材》GB/T5237.1-2017</w:t>
      </w:r>
    </w:p>
    <w:p w14:paraId="61AB9FA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52.《铝合金建筑型材 第2部分：阳极氧化型材》GB/T5237.2-2017</w:t>
      </w:r>
    </w:p>
    <w:p w14:paraId="0DB4D7E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53.《铝合金建筑型材 第3部分：电泳涂漆型材》GB/T5237.3-2017</w:t>
      </w:r>
    </w:p>
    <w:p w14:paraId="351A9FF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54.《铝合金建筑型材 第4部分：喷粉型材》GB/T5237.4-2017</w:t>
      </w:r>
    </w:p>
    <w:p w14:paraId="24ABACC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55.《铝合金建筑型材 第5部分：喷漆型材》GB/T5237.5-2017</w:t>
      </w:r>
    </w:p>
    <w:p w14:paraId="679A50E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56.《铝合金建筑型材 第6部分：隔热型材》GB/T5237.6-2017</w:t>
      </w:r>
    </w:p>
    <w:p w14:paraId="560D30BB">
      <w:pPr>
        <w:adjustRightInd w:val="0"/>
        <w:snapToGrid w:val="0"/>
        <w:spacing w:line="360" w:lineRule="auto"/>
        <w:ind w:firstLine="600" w:firstLineChars="200"/>
        <w:outlineLvl w:val="2"/>
        <w:rPr>
          <w:rFonts w:hint="eastAsia" w:asciiTheme="minorEastAsia" w:hAnsiTheme="minorEastAsia" w:eastAsiaTheme="minorEastAsia" w:cstheme="minorEastAsia"/>
          <w:sz w:val="30"/>
          <w:szCs w:val="30"/>
        </w:rPr>
      </w:pPr>
      <w:bookmarkStart w:id="6" w:name="_Toc29024"/>
      <w:r>
        <w:rPr>
          <w:rFonts w:hint="eastAsia" w:asciiTheme="minorEastAsia" w:hAnsiTheme="minorEastAsia" w:eastAsiaTheme="minorEastAsia" w:cstheme="minorEastAsia"/>
          <w:sz w:val="30"/>
          <w:szCs w:val="30"/>
        </w:rPr>
        <w:t>57.《建筑用隔热铝合金型材》JG/T175-2011</w:t>
      </w:r>
      <w:bookmarkEnd w:id="6"/>
    </w:p>
    <w:p w14:paraId="2C5B753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58.《一般工业用铝及铝合金板、带材》GB/T3880.1～3-2012</w:t>
      </w:r>
    </w:p>
    <w:p w14:paraId="5A1FD8E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59.《建筑幕墙用铝塑复合板》GB/T17748-2016</w:t>
      </w:r>
    </w:p>
    <w:p w14:paraId="702BAAC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60.《天然花岗石建筑板材》GB/T18601-2009</w:t>
      </w:r>
    </w:p>
    <w:p w14:paraId="4C6DF4BA">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61.《天然大理石建筑板材》》GB/T19766-2016</w:t>
      </w:r>
    </w:p>
    <w:p w14:paraId="23B4E6A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62.《天然石材统一编号》GB/T17670-2008</w:t>
      </w:r>
    </w:p>
    <w:p w14:paraId="7041AB6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63.《干挂石材用金属挂件》GB/T32839-2016</w:t>
      </w:r>
    </w:p>
    <w:p w14:paraId="1B1F0E3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64.《建筑用硅酮结构密封胶》GB16776-2005</w:t>
      </w:r>
    </w:p>
    <w:p w14:paraId="700FE02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65.《中空玻璃用丁基热熔密封胶》JC/T914-2014</w:t>
      </w:r>
    </w:p>
    <w:p w14:paraId="67266D44">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66.《幕墙玻璃接缝密封胶》JC/T882-2001</w:t>
      </w:r>
    </w:p>
    <w:p w14:paraId="28DA07F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67.《干挂石材幕墙用环氧胶粘剂》JC887-2001</w:t>
      </w:r>
    </w:p>
    <w:p w14:paraId="6A81939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68.《石材用建筑密封胶》JC/T883-2001</w:t>
      </w:r>
    </w:p>
    <w:p w14:paraId="7AA1A4D5">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69.《建筑幕墙用槽式预埋组件》GB/T38525-2020</w:t>
      </w:r>
    </w:p>
    <w:p w14:paraId="6AB5F03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70.《绝热用岩棉、矿渣棉及其制品》GB/T11835-2016</w:t>
      </w:r>
    </w:p>
    <w:p w14:paraId="45F295EF">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71.《建筑材料及制品燃烧性能分级》GB8624-2012</w:t>
      </w:r>
    </w:p>
    <w:p w14:paraId="334060E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72.《人造板材幕墙工程技术规范》JGJ336-2016</w:t>
      </w:r>
    </w:p>
    <w:p w14:paraId="5066724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73.《玻璃纤维增强水泥(GRC)建筑应用技术标准》JGJ/T423-2018</w:t>
      </w:r>
    </w:p>
    <w:p w14:paraId="7E1CA3B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74.《建筑门窗、幕墙用密封胶条》GB/T24498-2009</w:t>
      </w:r>
    </w:p>
    <w:p w14:paraId="70E0895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75.《建筑外墙外保温用岩棉制品》GB/T25975-2018</w:t>
      </w:r>
    </w:p>
    <w:p w14:paraId="4E2CE876">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76.《建筑用岩棉绝热制品》GB/T19686-2015</w:t>
      </w:r>
    </w:p>
    <w:p w14:paraId="00E451F3">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77.《建筑幕墙用瓷板》JG/T217-2007</w:t>
      </w:r>
    </w:p>
    <w:p w14:paraId="22957949">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78.《建筑幕墙用陶板》JG/T324-2011</w:t>
      </w:r>
    </w:p>
    <w:p w14:paraId="25285C20">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79.《建筑采光设计标准》GB/T50033-2013</w:t>
      </w:r>
    </w:p>
    <w:p w14:paraId="55E51E1B">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80.《民用建筑热工设计规范》GB50176-2016</w:t>
      </w:r>
    </w:p>
    <w:p w14:paraId="0E67EA3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81.《既有居住建筑节能改造技术规程》JGJ/T129-2012</w:t>
      </w:r>
    </w:p>
    <w:p w14:paraId="2F3E9F31">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82.《防雷安全管理规范》QX/T309-2017</w:t>
      </w:r>
    </w:p>
    <w:p w14:paraId="4E2B594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83.《电动采光排烟天窗》GB/T28637-2012</w:t>
      </w:r>
    </w:p>
    <w:p w14:paraId="54CE787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84.《屋面工程质量验收规范》GB50207-2012</w:t>
      </w:r>
    </w:p>
    <w:p w14:paraId="5C3B7A0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85.《建筑幕墙、门窗通用技术条件》GB/T31433-2015</w:t>
      </w:r>
    </w:p>
    <w:p w14:paraId="78F2128C">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86.《擦窗机》GB/T19154-2017</w:t>
      </w:r>
    </w:p>
    <w:p w14:paraId="58B564D2">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87.《真空玻璃》GB/T38586-2020</w:t>
      </w:r>
    </w:p>
    <w:p w14:paraId="2E4E143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88.《天然石材术语》GB/T13890-2008</w:t>
      </w:r>
    </w:p>
    <w:p w14:paraId="24FAD7CE">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89..建标【2015】38号 关于进一步加强玻璃幕墙安全防护工作的通知（住房城乡建设部国家安全监管总局）</w:t>
      </w:r>
    </w:p>
    <w:p w14:paraId="42E51267">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90.中装协【2016】89号 关于印发《关于淘汰建筑幕墙落后产品和技术的指导意见》的通知</w:t>
      </w:r>
    </w:p>
    <w:p w14:paraId="1D847528">
      <w:pPr>
        <w:adjustRightInd w:val="0"/>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注：上文未列的标准、规范以国家、行业、团体现行标准、规范为准。</w:t>
      </w:r>
    </w:p>
    <w:p w14:paraId="69208E72">
      <w:pPr>
        <w:adjustRightInd w:val="0"/>
        <w:snapToGrid w:val="0"/>
        <w:spacing w:line="319" w:lineRule="auto"/>
        <w:rPr>
          <w:rFonts w:hint="eastAsia" w:asciiTheme="minorEastAsia" w:hAnsiTheme="minorEastAsia" w:eastAsiaTheme="minorEastAsia" w:cstheme="minorEastAsia"/>
          <w:sz w:val="30"/>
          <w:szCs w:val="30"/>
        </w:rPr>
      </w:pPr>
    </w:p>
    <w:p w14:paraId="5B6DB66F">
      <w:pPr>
        <w:sectPr>
          <w:pgSz w:w="11906" w:h="16838"/>
          <w:pgMar w:top="1440" w:right="1247" w:bottom="1440" w:left="1587" w:header="851" w:footer="992" w:gutter="0"/>
          <w:pgNumType w:fmt="numberInDash"/>
          <w:cols w:space="720" w:num="1"/>
          <w:docGrid w:type="lines" w:linePitch="312" w:charSpace="0"/>
        </w:sectPr>
      </w:pPr>
    </w:p>
    <w:p w14:paraId="64A7F4C5">
      <w:pPr>
        <w:jc w:val="center"/>
        <w:rPr>
          <w:rFonts w:ascii="宋体" w:hAnsi="宋体"/>
          <w:bCs/>
          <w:sz w:val="10"/>
          <w:szCs w:val="10"/>
        </w:rPr>
      </w:pPr>
      <w:r>
        <w:rPr>
          <w:rFonts w:hint="eastAsia" w:ascii="黑体" w:hAnsi="黑体" w:eastAsia="黑体"/>
          <w:b/>
          <w:bCs/>
          <w:sz w:val="30"/>
          <w:szCs w:val="30"/>
        </w:rPr>
        <w:t>四、工程复查实施细则</w:t>
      </w:r>
      <w:r>
        <w:rPr>
          <w:rFonts w:hint="eastAsia" w:ascii="宋体" w:hAnsi="宋体"/>
          <w:bCs/>
          <w:sz w:val="30"/>
          <w:szCs w:val="30"/>
        </w:rPr>
        <w:t>——建筑幕墙类</w:t>
      </w:r>
      <w:r>
        <w:rPr>
          <w:rFonts w:hint="eastAsia"/>
          <w:sz w:val="24"/>
        </w:rPr>
        <w:t>（建筑幕墙工程）</w:t>
      </w:r>
    </w:p>
    <w:tbl>
      <w:tblPr>
        <w:tblStyle w:val="2"/>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409"/>
        <w:gridCol w:w="1701"/>
        <w:gridCol w:w="851"/>
        <w:gridCol w:w="2268"/>
      </w:tblGrid>
      <w:tr w14:paraId="3F5F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29E8AD29">
            <w:pPr>
              <w:snapToGrid w:val="0"/>
              <w:spacing w:line="288" w:lineRule="auto"/>
              <w:jc w:val="center"/>
              <w:rPr>
                <w:b/>
                <w:bCs/>
                <w:sz w:val="24"/>
              </w:rPr>
            </w:pPr>
            <w:r>
              <w:rPr>
                <w:b/>
                <w:bCs/>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BADB45F">
            <w:pPr>
              <w:snapToGrid w:val="0"/>
              <w:spacing w:line="288" w:lineRule="auto"/>
              <w:jc w:val="center"/>
              <w:rPr>
                <w:b/>
                <w:bCs/>
                <w:sz w:val="24"/>
              </w:rPr>
            </w:pPr>
            <w:r>
              <w:rPr>
                <w:rFonts w:hint="eastAsia"/>
                <w:b/>
                <w:bCs/>
                <w:sz w:val="24"/>
              </w:rPr>
              <w:t>复查项目</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1D5F4AA">
            <w:pPr>
              <w:snapToGrid w:val="0"/>
              <w:spacing w:line="288" w:lineRule="auto"/>
              <w:jc w:val="center"/>
              <w:rPr>
                <w:b/>
                <w:bCs/>
                <w:sz w:val="24"/>
              </w:rPr>
            </w:pPr>
            <w:r>
              <w:rPr>
                <w:rFonts w:hint="eastAsia"/>
                <w:b/>
                <w:bCs/>
                <w:sz w:val="24"/>
              </w:rPr>
              <w:t>复查内容</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D1E8ED1">
            <w:pPr>
              <w:snapToGrid w:val="0"/>
              <w:spacing w:line="288" w:lineRule="auto"/>
              <w:jc w:val="center"/>
              <w:rPr>
                <w:b/>
                <w:bCs/>
                <w:sz w:val="24"/>
              </w:rPr>
            </w:pPr>
            <w:r>
              <w:rPr>
                <w:rFonts w:hint="eastAsia"/>
                <w:b/>
                <w:bCs/>
                <w:sz w:val="24"/>
              </w:rPr>
              <w:t>评分标准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6FFD31">
            <w:pPr>
              <w:snapToGrid w:val="0"/>
              <w:spacing w:line="288" w:lineRule="auto"/>
              <w:jc w:val="center"/>
              <w:rPr>
                <w:b/>
                <w:bCs/>
                <w:sz w:val="24"/>
              </w:rPr>
            </w:pPr>
            <w:r>
              <w:rPr>
                <w:b/>
                <w:bCs/>
                <w:sz w:val="24"/>
              </w:rPr>
              <w:t>备注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BCE894">
            <w:pPr>
              <w:snapToGrid w:val="0"/>
              <w:spacing w:line="288" w:lineRule="auto"/>
              <w:jc w:val="center"/>
              <w:rPr>
                <w:b/>
                <w:bCs/>
                <w:sz w:val="24"/>
              </w:rPr>
            </w:pPr>
            <w:r>
              <w:rPr>
                <w:rFonts w:hint="eastAsia"/>
                <w:b/>
                <w:bCs/>
                <w:sz w:val="24"/>
              </w:rPr>
              <w:t>分值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7E448E">
            <w:pPr>
              <w:snapToGrid w:val="0"/>
              <w:spacing w:line="288" w:lineRule="auto"/>
              <w:jc w:val="center"/>
              <w:rPr>
                <w:b/>
                <w:bCs/>
                <w:sz w:val="24"/>
              </w:rPr>
            </w:pPr>
            <w:r>
              <w:rPr>
                <w:rFonts w:hint="eastAsia"/>
                <w:b/>
                <w:bCs/>
                <w:sz w:val="24"/>
              </w:rPr>
              <w:t>复查方法</w:t>
            </w:r>
          </w:p>
        </w:tc>
      </w:tr>
      <w:tr w14:paraId="0A0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tcBorders>
              <w:top w:val="single" w:color="auto" w:sz="4" w:space="0"/>
              <w:left w:val="single" w:color="auto" w:sz="4" w:space="0"/>
              <w:right w:val="single" w:color="auto" w:sz="4" w:space="0"/>
            </w:tcBorders>
            <w:noWrap w:val="0"/>
            <w:vAlign w:val="center"/>
          </w:tcPr>
          <w:p w14:paraId="5EEA827F">
            <w:pPr>
              <w:snapToGrid w:val="0"/>
              <w:spacing w:line="288" w:lineRule="auto"/>
              <w:jc w:val="center"/>
              <w:rPr>
                <w:rFonts w:ascii="宋体" w:hAnsi="宋体"/>
                <w:szCs w:val="21"/>
              </w:rPr>
            </w:pPr>
            <w:r>
              <w:rPr>
                <w:rFonts w:ascii="宋体" w:hAnsi="宋体"/>
                <w:szCs w:val="21"/>
              </w:rPr>
              <w:t>1</w:t>
            </w:r>
          </w:p>
        </w:tc>
        <w:tc>
          <w:tcPr>
            <w:tcW w:w="1277" w:type="dxa"/>
            <w:vMerge w:val="restart"/>
            <w:tcBorders>
              <w:top w:val="single" w:color="auto" w:sz="4" w:space="0"/>
              <w:left w:val="single" w:color="auto" w:sz="4" w:space="0"/>
              <w:right w:val="single" w:color="auto" w:sz="4" w:space="0"/>
            </w:tcBorders>
            <w:noWrap w:val="0"/>
            <w:vAlign w:val="center"/>
          </w:tcPr>
          <w:p w14:paraId="2587E390">
            <w:pPr>
              <w:snapToGrid w:val="0"/>
              <w:spacing w:line="240" w:lineRule="exact"/>
              <w:jc w:val="center"/>
              <w:rPr>
                <w:rFonts w:ascii="宋体" w:hAnsi="宋体"/>
                <w:szCs w:val="21"/>
              </w:rPr>
            </w:pPr>
            <w:r>
              <w:rPr>
                <w:rFonts w:hint="eastAsia" w:ascii="宋体" w:hAnsi="宋体"/>
                <w:szCs w:val="21"/>
              </w:rPr>
              <w:t>资料</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282331EE">
            <w:pPr>
              <w:snapToGrid w:val="0"/>
              <w:spacing w:line="276" w:lineRule="auto"/>
              <w:rPr>
                <w:rFonts w:ascii="黑体" w:hAnsi="黑体" w:eastAsia="黑体"/>
                <w:szCs w:val="21"/>
              </w:rPr>
            </w:pPr>
            <w:r>
              <w:rPr>
                <w:rFonts w:hint="eastAsia" w:ascii="黑体" w:hAnsi="黑体" w:eastAsia="黑体"/>
                <w:szCs w:val="21"/>
              </w:rPr>
              <w:t>必要文件：</w:t>
            </w:r>
          </w:p>
          <w:p w14:paraId="76135AFD">
            <w:pPr>
              <w:pStyle w:val="4"/>
              <w:snapToGrid w:val="0"/>
              <w:spacing w:line="276"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企业营业执照、资质等级证书、安全生产许可证（此三项上一年度参评的单位可提供在有效期内的加盖本单位公章的复印件）；</w:t>
            </w:r>
          </w:p>
          <w:p w14:paraId="5E9FB491">
            <w:pPr>
              <w:pStyle w:val="4"/>
              <w:snapToGrid w:val="0"/>
              <w:spacing w:line="276"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项目经理注册建造师证书、安全生产考核合格证书；</w:t>
            </w:r>
          </w:p>
          <w:p w14:paraId="3CB6250C">
            <w:pPr>
              <w:pStyle w:val="4"/>
              <w:snapToGrid w:val="0"/>
              <w:spacing w:line="276" w:lineRule="auto"/>
              <w:ind w:firstLine="0" w:firstLineChars="0"/>
              <w:rPr>
                <w:rFonts w:ascii="宋体" w:hAnsi="宋体"/>
                <w:szCs w:val="21"/>
              </w:rPr>
            </w:pPr>
            <w:r>
              <w:rPr>
                <w:rFonts w:ascii="宋体" w:hAnsi="宋体"/>
                <w:szCs w:val="21"/>
              </w:rPr>
              <w:t>3.</w:t>
            </w:r>
            <w:r>
              <w:rPr>
                <w:rFonts w:hint="eastAsia" w:ascii="宋体" w:hAnsi="宋体"/>
                <w:szCs w:val="21"/>
              </w:rPr>
              <w:t>幕墙工程施工合同（含施工范围、面积、金额）；</w:t>
            </w:r>
          </w:p>
          <w:p w14:paraId="442A1E8D">
            <w:pPr>
              <w:pStyle w:val="4"/>
              <w:snapToGrid w:val="0"/>
              <w:spacing w:line="276" w:lineRule="auto"/>
              <w:ind w:firstLine="0" w:firstLineChars="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施工许可证（施工许可证不单独发给幕墙工程的，可以用总包单位的施工许可证）；</w:t>
            </w:r>
          </w:p>
          <w:p w14:paraId="262D4F6E">
            <w:pPr>
              <w:pStyle w:val="4"/>
              <w:snapToGrid w:val="0"/>
              <w:spacing w:line="276" w:lineRule="auto"/>
              <w:ind w:firstLine="0" w:firstLineChars="0"/>
              <w:rPr>
                <w:rFonts w:ascii="宋体" w:hAnsi="宋体"/>
                <w:szCs w:val="21"/>
              </w:rPr>
            </w:pPr>
            <w:r>
              <w:rPr>
                <w:rFonts w:ascii="宋体" w:hAnsi="宋体"/>
                <w:szCs w:val="21"/>
              </w:rPr>
              <w:t>5.</w:t>
            </w:r>
            <w:r>
              <w:rPr>
                <w:rFonts w:hint="eastAsia" w:ascii="宋体" w:hAnsi="宋体"/>
                <w:szCs w:val="21"/>
              </w:rPr>
              <w:t>幕墙单项竣工验收资料（签章必须齐全）;</w:t>
            </w:r>
          </w:p>
          <w:p w14:paraId="678BEE89">
            <w:pPr>
              <w:pStyle w:val="4"/>
              <w:snapToGrid w:val="0"/>
              <w:spacing w:line="276" w:lineRule="auto"/>
              <w:ind w:firstLine="0" w:firstLineChars="0"/>
              <w:rPr>
                <w:rFonts w:ascii="宋体" w:hAnsi="宋体"/>
                <w:szCs w:val="21"/>
              </w:rPr>
            </w:pPr>
            <w:r>
              <w:rPr>
                <w:rFonts w:ascii="宋体" w:hAnsi="宋体"/>
                <w:szCs w:val="21"/>
              </w:rPr>
              <w:t>6.</w:t>
            </w:r>
            <w:r>
              <w:rPr>
                <w:rFonts w:hint="eastAsia" w:ascii="宋体" w:hAnsi="宋体"/>
                <w:szCs w:val="21"/>
              </w:rPr>
              <w:t>消防验收（工程名称、验收范围、主管部门公章、日期必须齐全；结论为合格；消防验收意见书中提出的整改意见如涉及幕墙部分应有有关部门的复查合格记录）；</w:t>
            </w:r>
          </w:p>
          <w:p w14:paraId="1D0AD62E">
            <w:pPr>
              <w:pStyle w:val="4"/>
              <w:snapToGrid w:val="0"/>
              <w:spacing w:line="276" w:lineRule="auto"/>
              <w:ind w:firstLine="0" w:firstLineChars="0"/>
              <w:rPr>
                <w:rFonts w:ascii="宋体" w:hAnsi="宋体"/>
                <w:szCs w:val="21"/>
              </w:rPr>
            </w:pPr>
            <w:r>
              <w:rPr>
                <w:rFonts w:ascii="宋体" w:hAnsi="宋体"/>
                <w:szCs w:val="21"/>
              </w:rPr>
              <w:t>7.</w:t>
            </w:r>
            <w:r>
              <w:rPr>
                <w:rFonts w:hint="eastAsia" w:ascii="宋体" w:hAnsi="宋体"/>
                <w:szCs w:val="21"/>
              </w:rPr>
              <w:t>工程验收合格备案证书。</w:t>
            </w:r>
          </w:p>
        </w:tc>
        <w:tc>
          <w:tcPr>
            <w:tcW w:w="2409" w:type="dxa"/>
            <w:vMerge w:val="restart"/>
            <w:tcBorders>
              <w:top w:val="single" w:color="auto" w:sz="4" w:space="0"/>
              <w:left w:val="single" w:color="auto" w:sz="4" w:space="0"/>
              <w:right w:val="single" w:color="auto" w:sz="4" w:space="0"/>
            </w:tcBorders>
            <w:noWrap w:val="0"/>
            <w:vAlign w:val="center"/>
          </w:tcPr>
          <w:p w14:paraId="130BF367">
            <w:pPr>
              <w:snapToGrid w:val="0"/>
              <w:spacing w:line="288" w:lineRule="auto"/>
              <w:jc w:val="left"/>
              <w:rPr>
                <w:rFonts w:hint="eastAsia" w:ascii="宋体" w:hAnsi="宋体"/>
                <w:szCs w:val="21"/>
              </w:rPr>
            </w:pPr>
          </w:p>
          <w:p w14:paraId="4E1F0BB8">
            <w:pPr>
              <w:snapToGrid w:val="0"/>
              <w:spacing w:line="288" w:lineRule="auto"/>
              <w:jc w:val="left"/>
              <w:rPr>
                <w:rFonts w:ascii="宋体" w:hAnsi="宋体"/>
                <w:szCs w:val="21"/>
              </w:rPr>
            </w:pPr>
            <w:r>
              <w:rPr>
                <w:rFonts w:hint="eastAsia" w:ascii="宋体" w:hAnsi="宋体"/>
                <w:szCs w:val="21"/>
              </w:rPr>
              <w:t>1.必要文件有一项不合格或不符合要求者不予评审。</w:t>
            </w:r>
          </w:p>
          <w:p w14:paraId="79E15429">
            <w:pPr>
              <w:snapToGrid w:val="0"/>
              <w:spacing w:line="288" w:lineRule="auto"/>
              <w:jc w:val="left"/>
              <w:rPr>
                <w:rFonts w:ascii="宋体" w:hAnsi="宋体"/>
                <w:szCs w:val="21"/>
              </w:rPr>
            </w:pPr>
            <w:r>
              <w:rPr>
                <w:rFonts w:hint="eastAsia" w:ascii="宋体" w:hAnsi="宋体"/>
                <w:szCs w:val="21"/>
              </w:rPr>
              <w:t>2.主要材料质量严重不符合标准、规范和设计要求（每项扣3-5分）；</w:t>
            </w:r>
          </w:p>
          <w:p w14:paraId="31DF1E10">
            <w:pPr>
              <w:snapToGrid w:val="0"/>
              <w:spacing w:line="288" w:lineRule="auto"/>
              <w:jc w:val="left"/>
              <w:rPr>
                <w:rFonts w:ascii="宋体" w:hAnsi="宋体"/>
                <w:szCs w:val="21"/>
              </w:rPr>
            </w:pPr>
            <w:r>
              <w:rPr>
                <w:rFonts w:hint="eastAsia" w:ascii="宋体" w:hAnsi="宋体"/>
                <w:szCs w:val="21"/>
              </w:rPr>
              <w:t>3.提供的主材质量证明资料与工程所用材料不符（每项扣1-2分）；</w:t>
            </w:r>
          </w:p>
          <w:p w14:paraId="47BEE4CF">
            <w:pPr>
              <w:snapToGrid w:val="0"/>
              <w:spacing w:line="288" w:lineRule="auto"/>
              <w:jc w:val="left"/>
              <w:rPr>
                <w:rFonts w:ascii="宋体" w:hAnsi="宋体"/>
                <w:szCs w:val="21"/>
              </w:rPr>
            </w:pPr>
            <w:r>
              <w:rPr>
                <w:rFonts w:hint="eastAsia" w:ascii="宋体" w:hAnsi="宋体"/>
                <w:szCs w:val="21"/>
              </w:rPr>
              <w:t>4.使用不合格胶或过期胶（每项扣2-3分）；</w:t>
            </w:r>
          </w:p>
          <w:p w14:paraId="075B0A24">
            <w:pPr>
              <w:snapToGrid w:val="0"/>
              <w:spacing w:line="288" w:lineRule="auto"/>
              <w:jc w:val="left"/>
              <w:rPr>
                <w:rFonts w:ascii="宋体" w:hAnsi="宋体"/>
                <w:szCs w:val="21"/>
              </w:rPr>
            </w:pPr>
            <w:r>
              <w:rPr>
                <w:rFonts w:hint="eastAsia" w:ascii="宋体" w:hAnsi="宋体"/>
                <w:szCs w:val="21"/>
              </w:rPr>
              <w:t>5.施工现场打结构胶（全玻璃幕墙除外）（每项扣0.5-1分）；</w:t>
            </w:r>
          </w:p>
          <w:p w14:paraId="1CBFD627">
            <w:pPr>
              <w:snapToGrid w:val="0"/>
              <w:spacing w:line="288" w:lineRule="auto"/>
              <w:jc w:val="left"/>
              <w:rPr>
                <w:rFonts w:ascii="宋体" w:hAnsi="宋体"/>
                <w:szCs w:val="21"/>
              </w:rPr>
            </w:pPr>
            <w:r>
              <w:rPr>
                <w:rFonts w:hint="eastAsia" w:ascii="宋体" w:hAnsi="宋体"/>
                <w:szCs w:val="21"/>
              </w:rPr>
              <w:t>6.无物理性能检测报告（每项扣0.5-1分）；</w:t>
            </w:r>
          </w:p>
          <w:p w14:paraId="6FBF3BA3">
            <w:pPr>
              <w:snapToGrid w:val="0"/>
              <w:spacing w:line="288" w:lineRule="auto"/>
              <w:jc w:val="left"/>
              <w:rPr>
                <w:rFonts w:ascii="宋体" w:hAnsi="宋体"/>
                <w:szCs w:val="21"/>
              </w:rPr>
            </w:pPr>
            <w:r>
              <w:rPr>
                <w:rFonts w:hint="eastAsia" w:ascii="宋体" w:hAnsi="宋体"/>
                <w:szCs w:val="21"/>
              </w:rPr>
              <w:t>7.后置埋件、石材背栓未进行现场拉拨力检测（每项扣0.5-1分）；</w:t>
            </w:r>
          </w:p>
          <w:p w14:paraId="073110EA">
            <w:pPr>
              <w:snapToGrid w:val="0"/>
              <w:spacing w:line="288" w:lineRule="auto"/>
              <w:jc w:val="left"/>
              <w:rPr>
                <w:rFonts w:ascii="宋体" w:hAnsi="宋体"/>
                <w:szCs w:val="21"/>
              </w:rPr>
            </w:pPr>
            <w:r>
              <w:rPr>
                <w:rFonts w:hint="eastAsia" w:ascii="宋体" w:hAnsi="宋体"/>
                <w:szCs w:val="21"/>
              </w:rPr>
              <w:t>8.石材未做抗弯强度检验（每项扣0.2-0.5分）；</w:t>
            </w:r>
          </w:p>
          <w:p w14:paraId="03713418">
            <w:pPr>
              <w:snapToGrid w:val="0"/>
              <w:spacing w:line="288" w:lineRule="auto"/>
              <w:jc w:val="left"/>
              <w:rPr>
                <w:rFonts w:ascii="宋体" w:hAnsi="宋体"/>
                <w:szCs w:val="21"/>
              </w:rPr>
            </w:pPr>
            <w:r>
              <w:rPr>
                <w:rFonts w:hint="eastAsia" w:ascii="宋体" w:hAnsi="宋体"/>
                <w:szCs w:val="21"/>
              </w:rPr>
              <w:t>9.无硅酮结构胶的相容性、粘结性试验报告（每项扣0.5-1分）；</w:t>
            </w:r>
          </w:p>
          <w:p w14:paraId="440F5F0A">
            <w:pPr>
              <w:snapToGrid w:val="0"/>
              <w:spacing w:line="288" w:lineRule="auto"/>
              <w:jc w:val="left"/>
              <w:rPr>
                <w:rFonts w:ascii="宋体" w:hAnsi="宋体"/>
                <w:szCs w:val="21"/>
              </w:rPr>
            </w:pPr>
            <w:r>
              <w:rPr>
                <w:rFonts w:hint="eastAsia" w:ascii="宋体" w:hAnsi="宋体"/>
                <w:szCs w:val="21"/>
              </w:rPr>
              <w:t>10.其它不符合要求或不合规情况（每项扣0.5-1分）</w:t>
            </w:r>
          </w:p>
        </w:tc>
        <w:tc>
          <w:tcPr>
            <w:tcW w:w="1701" w:type="dxa"/>
            <w:tcBorders>
              <w:top w:val="single" w:color="auto" w:sz="4" w:space="0"/>
              <w:left w:val="single" w:color="auto" w:sz="4" w:space="0"/>
              <w:right w:val="single" w:color="auto" w:sz="4" w:space="0"/>
            </w:tcBorders>
            <w:noWrap w:val="0"/>
            <w:vAlign w:val="center"/>
          </w:tcPr>
          <w:p w14:paraId="7F51F777">
            <w:pPr>
              <w:snapToGrid w:val="0"/>
              <w:spacing w:line="288" w:lineRule="auto"/>
              <w:jc w:val="left"/>
              <w:rPr>
                <w:rFonts w:ascii="宋体" w:hAnsi="宋体"/>
                <w:szCs w:val="21"/>
              </w:rPr>
            </w:pPr>
            <w:r>
              <w:rPr>
                <w:rFonts w:hint="eastAsia" w:ascii="宋体" w:hAnsi="宋体"/>
                <w:szCs w:val="21"/>
              </w:rPr>
              <w:t>必要文件应为原件或可网查的电子文件打印件并加盖申报单位鲜章</w:t>
            </w:r>
          </w:p>
        </w:tc>
        <w:tc>
          <w:tcPr>
            <w:tcW w:w="851" w:type="dxa"/>
            <w:vMerge w:val="restart"/>
            <w:tcBorders>
              <w:top w:val="single" w:color="auto" w:sz="4" w:space="0"/>
              <w:left w:val="single" w:color="auto" w:sz="4" w:space="0"/>
              <w:right w:val="single" w:color="auto" w:sz="4" w:space="0"/>
            </w:tcBorders>
            <w:noWrap w:val="0"/>
            <w:vAlign w:val="center"/>
          </w:tcPr>
          <w:p w14:paraId="3181A88A">
            <w:pPr>
              <w:snapToGrid w:val="0"/>
              <w:spacing w:line="288" w:lineRule="auto"/>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right w:val="single" w:color="auto" w:sz="4" w:space="0"/>
            </w:tcBorders>
            <w:noWrap w:val="0"/>
            <w:vAlign w:val="center"/>
          </w:tcPr>
          <w:p w14:paraId="5EEF8F1E">
            <w:pPr>
              <w:snapToGrid w:val="0"/>
              <w:spacing w:line="276" w:lineRule="auto"/>
              <w:rPr>
                <w:rFonts w:ascii="宋体" w:hAnsi="宋体"/>
                <w:szCs w:val="21"/>
              </w:rPr>
            </w:pPr>
            <w:r>
              <w:rPr>
                <w:rFonts w:hint="eastAsia" w:ascii="宋体" w:hAnsi="宋体"/>
                <w:szCs w:val="21"/>
              </w:rPr>
              <w:t>查：相关文件资料原件或电子证件（提供网查链接）；</w:t>
            </w:r>
          </w:p>
          <w:p w14:paraId="0D65C4E3">
            <w:pPr>
              <w:snapToGrid w:val="0"/>
              <w:spacing w:line="276" w:lineRule="auto"/>
              <w:rPr>
                <w:rFonts w:ascii="宋体" w:hAnsi="宋体"/>
                <w:szCs w:val="21"/>
              </w:rPr>
            </w:pPr>
            <w:r>
              <w:rPr>
                <w:rFonts w:hint="eastAsia" w:ascii="宋体" w:hAnsi="宋体"/>
                <w:szCs w:val="21"/>
              </w:rPr>
              <w:t>原件已存入城建档案馆或城建档案管理机构的可提供由档案馆或城建档案管理机构出具的加盖出具单位和申报单位鲜章并注明“原件存于X</w:t>
            </w:r>
            <w:r>
              <w:rPr>
                <w:rFonts w:ascii="宋体" w:hAnsi="宋体"/>
                <w:szCs w:val="21"/>
              </w:rPr>
              <w:t>XX</w:t>
            </w:r>
            <w:r>
              <w:rPr>
                <w:rFonts w:hint="eastAsia" w:ascii="宋体" w:hAnsi="宋体"/>
                <w:szCs w:val="21"/>
              </w:rPr>
              <w:t>，复印件与原件相同”字样的复印件。</w:t>
            </w:r>
          </w:p>
        </w:tc>
      </w:tr>
      <w:tr w14:paraId="4C8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67" w:type="dxa"/>
            <w:vMerge w:val="continue"/>
            <w:tcBorders>
              <w:left w:val="single" w:color="auto" w:sz="4" w:space="0"/>
              <w:right w:val="single" w:color="auto" w:sz="4" w:space="0"/>
            </w:tcBorders>
            <w:noWrap w:val="0"/>
            <w:vAlign w:val="center"/>
          </w:tcPr>
          <w:p w14:paraId="309A675B">
            <w:pPr>
              <w:snapToGrid w:val="0"/>
              <w:spacing w:line="288" w:lineRule="auto"/>
              <w:jc w:val="center"/>
              <w:rPr>
                <w:rFonts w:ascii="宋体" w:hAnsi="宋体"/>
                <w:szCs w:val="21"/>
              </w:rPr>
            </w:pPr>
          </w:p>
        </w:tc>
        <w:tc>
          <w:tcPr>
            <w:tcW w:w="1277" w:type="dxa"/>
            <w:vMerge w:val="continue"/>
            <w:tcBorders>
              <w:left w:val="single" w:color="auto" w:sz="4" w:space="0"/>
              <w:right w:val="single" w:color="auto" w:sz="4" w:space="0"/>
            </w:tcBorders>
            <w:noWrap w:val="0"/>
            <w:vAlign w:val="center"/>
          </w:tcPr>
          <w:p w14:paraId="70352DAA">
            <w:pPr>
              <w:snapToGrid w:val="0"/>
              <w:spacing w:line="240" w:lineRule="exact"/>
              <w:jc w:val="center"/>
              <w:rPr>
                <w:rFonts w:ascii="宋体" w:hAnsi="宋体"/>
                <w:szCs w:val="21"/>
              </w:rPr>
            </w:pPr>
          </w:p>
        </w:tc>
        <w:tc>
          <w:tcPr>
            <w:tcW w:w="4961" w:type="dxa"/>
            <w:tcBorders>
              <w:top w:val="single" w:color="auto" w:sz="4" w:space="0"/>
              <w:left w:val="single" w:color="auto" w:sz="4" w:space="0"/>
              <w:bottom w:val="single" w:color="auto" w:sz="4" w:space="0"/>
              <w:right w:val="single" w:color="auto" w:sz="4" w:space="0"/>
            </w:tcBorders>
            <w:noWrap w:val="0"/>
            <w:vAlign w:val="center"/>
          </w:tcPr>
          <w:p w14:paraId="26BE27CA">
            <w:pPr>
              <w:snapToGrid w:val="0"/>
              <w:spacing w:line="276" w:lineRule="auto"/>
              <w:rPr>
                <w:rFonts w:hint="eastAsia" w:ascii="黑体" w:hAnsi="黑体" w:eastAsia="黑体"/>
                <w:szCs w:val="21"/>
              </w:rPr>
            </w:pPr>
          </w:p>
          <w:p w14:paraId="75FEB78C">
            <w:pPr>
              <w:snapToGrid w:val="0"/>
              <w:spacing w:line="276" w:lineRule="auto"/>
              <w:rPr>
                <w:rFonts w:ascii="黑体" w:hAnsi="黑体" w:eastAsia="黑体"/>
                <w:spacing w:val="-4"/>
                <w:szCs w:val="21"/>
              </w:rPr>
            </w:pPr>
            <w:r>
              <w:rPr>
                <w:rFonts w:hint="eastAsia" w:ascii="黑体" w:hAnsi="黑体" w:eastAsia="黑体"/>
                <w:szCs w:val="21"/>
              </w:rPr>
              <w:t>质量管理资料：</w:t>
            </w:r>
          </w:p>
          <w:p w14:paraId="16F8ADFF">
            <w:pPr>
              <w:pStyle w:val="4"/>
              <w:snapToGrid w:val="0"/>
              <w:spacing w:line="276" w:lineRule="auto"/>
              <w:ind w:firstLine="0" w:firstLineChars="0"/>
              <w:rPr>
                <w:rFonts w:ascii="宋体" w:hAnsi="宋体"/>
                <w:spacing w:val="-4"/>
                <w:szCs w:val="21"/>
              </w:rPr>
            </w:pPr>
            <w:r>
              <w:rPr>
                <w:rFonts w:hint="eastAsia" w:ascii="宋体" w:hAnsi="宋体"/>
                <w:spacing w:val="-4"/>
                <w:szCs w:val="21"/>
              </w:rPr>
              <w:t>1.应提供施工组织设计、施工日志、技术交底等及危险性较大分部分项工程论证报告。</w:t>
            </w:r>
          </w:p>
          <w:p w14:paraId="10D52CA0">
            <w:pPr>
              <w:pStyle w:val="4"/>
              <w:snapToGrid w:val="0"/>
              <w:spacing w:line="276" w:lineRule="auto"/>
              <w:ind w:firstLine="0" w:firstLineChars="0"/>
              <w:rPr>
                <w:rFonts w:ascii="宋体" w:hAnsi="宋体"/>
                <w:spacing w:val="-4"/>
                <w:szCs w:val="21"/>
              </w:rPr>
            </w:pPr>
            <w:r>
              <w:rPr>
                <w:rFonts w:hint="eastAsia" w:ascii="宋体" w:hAnsi="宋体"/>
                <w:spacing w:val="-4"/>
                <w:szCs w:val="21"/>
              </w:rPr>
              <w:t>2</w:t>
            </w:r>
            <w:r>
              <w:rPr>
                <w:rFonts w:ascii="宋体" w:hAnsi="宋体"/>
                <w:spacing w:val="-4"/>
                <w:szCs w:val="21"/>
              </w:rPr>
              <w:t>.</w:t>
            </w:r>
            <w:r>
              <w:rPr>
                <w:rFonts w:hint="eastAsia" w:ascii="宋体" w:hAnsi="宋体"/>
                <w:spacing w:val="-4"/>
                <w:szCs w:val="21"/>
              </w:rPr>
              <w:t>幕墙使用的主要材料应符合标准、规范要求，符合设计要求。应有出厂合格证、检测报告；</w:t>
            </w:r>
          </w:p>
          <w:p w14:paraId="6A73E59D">
            <w:pPr>
              <w:pStyle w:val="4"/>
              <w:snapToGrid w:val="0"/>
              <w:spacing w:line="276" w:lineRule="auto"/>
              <w:ind w:firstLine="0" w:firstLineChars="0"/>
              <w:rPr>
                <w:rFonts w:ascii="宋体" w:hAnsi="宋体"/>
                <w:spacing w:val="-4"/>
                <w:szCs w:val="21"/>
              </w:rPr>
            </w:pPr>
            <w:r>
              <w:rPr>
                <w:rFonts w:hint="eastAsia" w:ascii="宋体" w:hAnsi="宋体"/>
                <w:spacing w:val="-4"/>
                <w:szCs w:val="21"/>
              </w:rPr>
              <w:t>3</w:t>
            </w:r>
            <w:r>
              <w:rPr>
                <w:rFonts w:ascii="宋体" w:hAnsi="宋体"/>
                <w:spacing w:val="-4"/>
                <w:szCs w:val="21"/>
              </w:rPr>
              <w:t>.</w:t>
            </w:r>
            <w:r>
              <w:rPr>
                <w:rFonts w:hint="eastAsia" w:ascii="宋体" w:hAnsi="宋体"/>
                <w:spacing w:val="-4"/>
                <w:szCs w:val="21"/>
              </w:rPr>
              <w:t>石材幕墙不得使用云石胶，可使用石材干挂胶。不得使用普通的耐候密封胶，应使用石材幕墙专用耐候胶，并提供抗污染检测报告；</w:t>
            </w:r>
          </w:p>
          <w:p w14:paraId="3B13E55B">
            <w:pPr>
              <w:pStyle w:val="4"/>
              <w:snapToGrid w:val="0"/>
              <w:spacing w:line="276" w:lineRule="auto"/>
              <w:ind w:firstLine="0" w:firstLineChars="0"/>
              <w:rPr>
                <w:rFonts w:ascii="宋体" w:hAnsi="宋体"/>
                <w:spacing w:val="-4"/>
                <w:szCs w:val="21"/>
              </w:rPr>
            </w:pPr>
            <w:r>
              <w:rPr>
                <w:rFonts w:hint="eastAsia" w:ascii="宋体" w:hAnsi="宋体"/>
                <w:spacing w:val="-4"/>
                <w:szCs w:val="21"/>
              </w:rPr>
              <w:t>4</w:t>
            </w:r>
            <w:r>
              <w:rPr>
                <w:rFonts w:ascii="宋体" w:hAnsi="宋体"/>
                <w:spacing w:val="-4"/>
                <w:szCs w:val="21"/>
              </w:rPr>
              <w:t>.</w:t>
            </w:r>
            <w:r>
              <w:rPr>
                <w:rFonts w:hint="eastAsia" w:ascii="宋体" w:hAnsi="宋体"/>
                <w:spacing w:val="-4"/>
                <w:szCs w:val="21"/>
              </w:rPr>
              <w:t>主要材料使用前应进行复验，提供检测报告；</w:t>
            </w:r>
          </w:p>
          <w:p w14:paraId="048A20A2">
            <w:pPr>
              <w:pStyle w:val="4"/>
              <w:snapToGrid w:val="0"/>
              <w:spacing w:line="276" w:lineRule="auto"/>
              <w:ind w:firstLine="0" w:firstLineChars="0"/>
              <w:rPr>
                <w:rFonts w:ascii="宋体" w:hAnsi="宋体"/>
                <w:spacing w:val="-4"/>
                <w:szCs w:val="21"/>
              </w:rPr>
            </w:pPr>
            <w:r>
              <w:rPr>
                <w:rFonts w:hint="eastAsia" w:ascii="宋体" w:hAnsi="宋体"/>
                <w:spacing w:val="-4"/>
                <w:szCs w:val="21"/>
              </w:rPr>
              <w:t>5</w:t>
            </w:r>
            <w:r>
              <w:rPr>
                <w:rFonts w:ascii="宋体" w:hAnsi="宋体"/>
                <w:spacing w:val="-4"/>
                <w:szCs w:val="21"/>
              </w:rPr>
              <w:t>.</w:t>
            </w:r>
            <w:r>
              <w:rPr>
                <w:rFonts w:hint="eastAsia" w:ascii="宋体" w:hAnsi="宋体"/>
                <w:spacing w:val="-4"/>
                <w:szCs w:val="21"/>
              </w:rPr>
              <w:t>幕墙的物理性能检测报告，沿海及台风多发地区要特别关注检测报告的幕墙抗风压性能指标与结构计算书、设计说明是否一致；</w:t>
            </w:r>
          </w:p>
          <w:p w14:paraId="650E92DF">
            <w:pPr>
              <w:pStyle w:val="4"/>
              <w:snapToGrid w:val="0"/>
              <w:spacing w:line="276" w:lineRule="auto"/>
              <w:ind w:firstLine="0" w:firstLineChars="0"/>
              <w:rPr>
                <w:rFonts w:ascii="宋体" w:hAnsi="宋体"/>
                <w:spacing w:val="-4"/>
                <w:szCs w:val="21"/>
              </w:rPr>
            </w:pPr>
            <w:r>
              <w:rPr>
                <w:rFonts w:hint="eastAsia" w:ascii="宋体" w:hAnsi="宋体"/>
                <w:spacing w:val="-4"/>
                <w:szCs w:val="21"/>
              </w:rPr>
              <w:t>6</w:t>
            </w:r>
            <w:r>
              <w:rPr>
                <w:rFonts w:ascii="宋体" w:hAnsi="宋体"/>
                <w:spacing w:val="-4"/>
                <w:szCs w:val="21"/>
              </w:rPr>
              <w:t>.</w:t>
            </w:r>
            <w:r>
              <w:rPr>
                <w:rFonts w:hint="eastAsia" w:ascii="宋体" w:hAnsi="宋体"/>
                <w:spacing w:val="-4"/>
                <w:szCs w:val="21"/>
              </w:rPr>
              <w:t>提供：连接件、预埋件的焊缝质量检测报告，后置埋件现场拉拨力检测报告，石材背栓拉拨力检测报告，石材的抗弯强度检验报告，索杆体系预拉力张拉记录；</w:t>
            </w:r>
          </w:p>
          <w:p w14:paraId="6F73E845">
            <w:pPr>
              <w:pStyle w:val="4"/>
              <w:snapToGrid w:val="0"/>
              <w:spacing w:line="276" w:lineRule="auto"/>
              <w:ind w:firstLine="0" w:firstLineChars="0"/>
              <w:rPr>
                <w:rFonts w:ascii="宋体" w:hAnsi="宋体"/>
                <w:spacing w:val="-4"/>
                <w:szCs w:val="21"/>
              </w:rPr>
            </w:pPr>
            <w:r>
              <w:rPr>
                <w:rFonts w:hint="eastAsia" w:ascii="宋体" w:hAnsi="宋体"/>
                <w:spacing w:val="-4"/>
                <w:szCs w:val="21"/>
              </w:rPr>
              <w:t>7</w:t>
            </w:r>
            <w:r>
              <w:rPr>
                <w:rFonts w:ascii="宋体" w:hAnsi="宋体"/>
                <w:spacing w:val="-4"/>
                <w:szCs w:val="21"/>
              </w:rPr>
              <w:t>.</w:t>
            </w:r>
            <w:r>
              <w:rPr>
                <w:rFonts w:hint="eastAsia" w:ascii="宋体" w:hAnsi="宋体"/>
                <w:spacing w:val="-4"/>
                <w:szCs w:val="21"/>
              </w:rPr>
              <w:t>有隐框、半隐框玻璃板块或隐框做法开启扇的，必须提供硅酮结构胶、耐候密封胶的相容性、粘结性试验报告，结构胶打胶记录、蝴蝶试验记录、养护记录；</w:t>
            </w:r>
          </w:p>
          <w:p w14:paraId="53E22ADD">
            <w:pPr>
              <w:pStyle w:val="4"/>
              <w:snapToGrid w:val="0"/>
              <w:spacing w:line="276" w:lineRule="auto"/>
              <w:ind w:firstLine="0" w:firstLineChars="0"/>
              <w:rPr>
                <w:rFonts w:ascii="宋体" w:hAnsi="宋体"/>
                <w:spacing w:val="-4"/>
                <w:szCs w:val="21"/>
              </w:rPr>
            </w:pPr>
            <w:r>
              <w:rPr>
                <w:rFonts w:hint="eastAsia" w:ascii="宋体" w:hAnsi="宋体"/>
                <w:spacing w:val="-4"/>
                <w:szCs w:val="21"/>
              </w:rPr>
              <w:t>8</w:t>
            </w:r>
            <w:r>
              <w:rPr>
                <w:rFonts w:ascii="宋体" w:hAnsi="宋体"/>
                <w:spacing w:val="-4"/>
                <w:szCs w:val="21"/>
              </w:rPr>
              <w:t>.</w:t>
            </w:r>
            <w:r>
              <w:rPr>
                <w:rFonts w:hint="eastAsia" w:ascii="宋体" w:hAnsi="宋体"/>
                <w:spacing w:val="-4"/>
                <w:szCs w:val="21"/>
              </w:rPr>
              <w:t>淋水试验记录，防雷检测报告；</w:t>
            </w:r>
          </w:p>
          <w:p w14:paraId="01762561">
            <w:pPr>
              <w:pStyle w:val="4"/>
              <w:snapToGrid w:val="0"/>
              <w:spacing w:line="276" w:lineRule="auto"/>
              <w:ind w:firstLine="0" w:firstLineChars="0"/>
              <w:rPr>
                <w:rFonts w:ascii="宋体" w:hAnsi="宋体"/>
                <w:spacing w:val="-4"/>
                <w:szCs w:val="21"/>
              </w:rPr>
            </w:pPr>
            <w:r>
              <w:rPr>
                <w:rFonts w:hint="eastAsia" w:ascii="宋体" w:hAnsi="宋体"/>
                <w:spacing w:val="-4"/>
                <w:szCs w:val="21"/>
              </w:rPr>
              <w:t>9</w:t>
            </w:r>
            <w:r>
              <w:rPr>
                <w:rFonts w:ascii="宋体" w:hAnsi="宋体"/>
                <w:spacing w:val="-4"/>
                <w:szCs w:val="21"/>
              </w:rPr>
              <w:t>.</w:t>
            </w:r>
            <w:r>
              <w:rPr>
                <w:rFonts w:hint="eastAsia" w:ascii="宋体" w:hAnsi="宋体"/>
                <w:spacing w:val="-4"/>
                <w:szCs w:val="21"/>
              </w:rPr>
              <w:t>每批单元板块组装件的出厂合格证、检验记录。每批隐框、半隐框玻璃板块的合格证、检验记录；</w:t>
            </w:r>
          </w:p>
          <w:p w14:paraId="59F4FAC9">
            <w:pPr>
              <w:pStyle w:val="4"/>
              <w:snapToGrid w:val="0"/>
              <w:spacing w:line="276" w:lineRule="auto"/>
              <w:ind w:firstLine="0" w:firstLineChars="0"/>
              <w:rPr>
                <w:rFonts w:ascii="宋体" w:hAnsi="宋体"/>
                <w:spacing w:val="-4"/>
                <w:szCs w:val="21"/>
              </w:rPr>
            </w:pPr>
            <w:r>
              <w:rPr>
                <w:rFonts w:hint="eastAsia" w:ascii="宋体" w:hAnsi="宋体"/>
                <w:spacing w:val="-4"/>
                <w:szCs w:val="21"/>
              </w:rPr>
              <w:t>1</w:t>
            </w:r>
            <w:r>
              <w:rPr>
                <w:rFonts w:ascii="宋体" w:hAnsi="宋体"/>
                <w:spacing w:val="-4"/>
                <w:szCs w:val="21"/>
              </w:rPr>
              <w:t>0.</w:t>
            </w:r>
            <w:r>
              <w:rPr>
                <w:rFonts w:hint="eastAsia" w:ascii="宋体" w:hAnsi="宋体"/>
                <w:spacing w:val="-4"/>
                <w:szCs w:val="21"/>
              </w:rPr>
              <w:t>幕墙各连接部位应牢固、可靠，隐蔽工程符合图纸要求，隐蔽工程记录真实、齐全并提供影像资料，并经监理签字认可（隐蔽工程包括：预埋件或后置埋件，锚栓及连接件，构件的连接节点，幕墙四周、幕墙内表面与主体结构间封堵，伸缩缝、沉降缝、抗震缝及墙面转角节点，玻璃板块的固定，幕墙防雷连接节点，幕墙防火、隔烟节点，单元式幕墙的封口节点等）；</w:t>
            </w:r>
          </w:p>
          <w:p w14:paraId="54D561D5">
            <w:pPr>
              <w:pStyle w:val="4"/>
              <w:snapToGrid w:val="0"/>
              <w:spacing w:line="276" w:lineRule="auto"/>
              <w:ind w:firstLine="0" w:firstLineChars="0"/>
              <w:rPr>
                <w:rFonts w:ascii="宋体" w:hAnsi="宋体"/>
                <w:spacing w:val="-4"/>
                <w:szCs w:val="21"/>
              </w:rPr>
            </w:pPr>
            <w:r>
              <w:rPr>
                <w:rFonts w:hint="eastAsia" w:ascii="宋体" w:hAnsi="宋体"/>
                <w:spacing w:val="-4"/>
                <w:szCs w:val="21"/>
              </w:rPr>
              <w:t>1</w:t>
            </w:r>
            <w:r>
              <w:rPr>
                <w:rFonts w:ascii="宋体" w:hAnsi="宋体"/>
                <w:spacing w:val="-4"/>
                <w:szCs w:val="21"/>
              </w:rPr>
              <w:t>1.</w:t>
            </w:r>
            <w:r>
              <w:rPr>
                <w:rFonts w:hint="eastAsia" w:ascii="宋体" w:hAnsi="宋体"/>
                <w:spacing w:val="-4"/>
                <w:szCs w:val="21"/>
              </w:rPr>
              <w:t>采用新材料的须提供耐候性、耐久性、可靠性依据。含水材料使用在严寒地区的应提供冻融复试报告。复合材料应关注温度应力产生变形导致的安全问题；</w:t>
            </w:r>
          </w:p>
          <w:p w14:paraId="29CABB15">
            <w:pPr>
              <w:pStyle w:val="4"/>
              <w:snapToGrid w:val="0"/>
              <w:spacing w:line="276" w:lineRule="auto"/>
              <w:ind w:firstLine="0" w:firstLineChars="0"/>
              <w:rPr>
                <w:rFonts w:ascii="宋体" w:hAnsi="宋体"/>
                <w:spacing w:val="-4"/>
                <w:szCs w:val="21"/>
              </w:rPr>
            </w:pPr>
            <w:r>
              <w:rPr>
                <w:rFonts w:hint="eastAsia" w:ascii="宋体" w:hAnsi="宋体"/>
                <w:spacing w:val="-4"/>
                <w:szCs w:val="21"/>
              </w:rPr>
              <w:t>1</w:t>
            </w:r>
            <w:r>
              <w:rPr>
                <w:rFonts w:ascii="宋体" w:hAnsi="宋体"/>
                <w:spacing w:val="-4"/>
                <w:szCs w:val="21"/>
              </w:rPr>
              <w:t>2.</w:t>
            </w:r>
            <w:r>
              <w:rPr>
                <w:rFonts w:hint="eastAsia" w:ascii="宋体" w:hAnsi="宋体"/>
                <w:spacing w:val="-4"/>
                <w:szCs w:val="21"/>
              </w:rPr>
              <w:t>合格证、检验记录、检测报告应提供原件且真实有效。检测结果应符合设计要求及相关标准规范要求；</w:t>
            </w:r>
          </w:p>
          <w:p w14:paraId="07481040">
            <w:pPr>
              <w:pStyle w:val="4"/>
              <w:snapToGrid w:val="0"/>
              <w:spacing w:line="276" w:lineRule="auto"/>
              <w:ind w:firstLine="0" w:firstLineChars="0"/>
              <w:rPr>
                <w:rFonts w:ascii="宋体" w:hAnsi="宋体"/>
                <w:spacing w:val="-4"/>
                <w:szCs w:val="21"/>
              </w:rPr>
            </w:pPr>
            <w:r>
              <w:rPr>
                <w:rFonts w:hint="eastAsia" w:ascii="宋体" w:hAnsi="宋体"/>
                <w:spacing w:val="-4"/>
                <w:szCs w:val="21"/>
              </w:rPr>
              <w:t>1</w:t>
            </w:r>
            <w:r>
              <w:rPr>
                <w:rFonts w:ascii="宋体" w:hAnsi="宋体"/>
                <w:spacing w:val="-4"/>
                <w:szCs w:val="21"/>
              </w:rPr>
              <w:t>3.</w:t>
            </w:r>
            <w:r>
              <w:rPr>
                <w:rFonts w:hint="eastAsia" w:ascii="宋体" w:hAnsi="宋体"/>
                <w:spacing w:val="-4"/>
                <w:szCs w:val="21"/>
              </w:rPr>
              <w:t>进口材料应符合我国相关产品标准。</w:t>
            </w:r>
          </w:p>
        </w:tc>
        <w:tc>
          <w:tcPr>
            <w:tcW w:w="2409" w:type="dxa"/>
            <w:vMerge w:val="continue"/>
            <w:tcBorders>
              <w:left w:val="single" w:color="auto" w:sz="4" w:space="0"/>
              <w:bottom w:val="single" w:color="auto" w:sz="4" w:space="0"/>
              <w:right w:val="single" w:color="auto" w:sz="4" w:space="0"/>
            </w:tcBorders>
            <w:noWrap w:val="0"/>
            <w:vAlign w:val="center"/>
          </w:tcPr>
          <w:p w14:paraId="4F79B6F0">
            <w:pPr>
              <w:snapToGrid w:val="0"/>
              <w:spacing w:line="276" w:lineRule="auto"/>
              <w:rPr>
                <w:rFonts w:ascii="宋体" w:hAnsi="宋体"/>
                <w:szCs w:val="21"/>
              </w:rPr>
            </w:pPr>
          </w:p>
        </w:tc>
        <w:tc>
          <w:tcPr>
            <w:tcW w:w="1701" w:type="dxa"/>
            <w:tcBorders>
              <w:left w:val="single" w:color="auto" w:sz="4" w:space="0"/>
              <w:right w:val="single" w:color="auto" w:sz="4" w:space="0"/>
            </w:tcBorders>
            <w:noWrap w:val="0"/>
            <w:vAlign w:val="center"/>
          </w:tcPr>
          <w:p w14:paraId="098A7F35">
            <w:pPr>
              <w:snapToGrid w:val="0"/>
              <w:spacing w:line="288" w:lineRule="auto"/>
              <w:jc w:val="left"/>
              <w:rPr>
                <w:rFonts w:ascii="宋体" w:hAnsi="宋体"/>
                <w:szCs w:val="21"/>
              </w:rPr>
            </w:pPr>
          </w:p>
          <w:p w14:paraId="23AFDB20">
            <w:pPr>
              <w:snapToGrid w:val="0"/>
              <w:spacing w:line="288" w:lineRule="auto"/>
              <w:jc w:val="left"/>
              <w:rPr>
                <w:rFonts w:ascii="宋体" w:hAnsi="宋体"/>
                <w:szCs w:val="21"/>
              </w:rPr>
            </w:pPr>
            <w:r>
              <w:rPr>
                <w:rFonts w:hint="eastAsia" w:ascii="宋体" w:hAnsi="宋体"/>
                <w:szCs w:val="21"/>
              </w:rPr>
              <w:t>包括但不限于材料、施工以及施工管理等方面涉及工程质量性能、安全性、可靠性等方面的质量管理资料；</w:t>
            </w:r>
          </w:p>
          <w:p w14:paraId="52F40725">
            <w:pPr>
              <w:snapToGrid w:val="0"/>
              <w:spacing w:line="288" w:lineRule="auto"/>
              <w:jc w:val="left"/>
              <w:rPr>
                <w:rFonts w:ascii="宋体" w:hAnsi="宋体"/>
                <w:szCs w:val="21"/>
              </w:rPr>
            </w:pPr>
          </w:p>
          <w:p w14:paraId="4F27FDE8">
            <w:pPr>
              <w:snapToGrid w:val="0"/>
              <w:spacing w:line="288" w:lineRule="auto"/>
              <w:jc w:val="left"/>
              <w:rPr>
                <w:rFonts w:ascii="宋体" w:hAnsi="宋体"/>
                <w:szCs w:val="21"/>
              </w:rPr>
            </w:pPr>
            <w:r>
              <w:rPr>
                <w:rFonts w:hint="eastAsia" w:ascii="宋体" w:hAnsi="宋体"/>
                <w:szCs w:val="21"/>
              </w:rPr>
              <w:t>隐蔽部位的质量管理资料</w:t>
            </w:r>
          </w:p>
          <w:p w14:paraId="20610A99">
            <w:pPr>
              <w:snapToGrid w:val="0"/>
              <w:spacing w:line="288" w:lineRule="auto"/>
              <w:jc w:val="left"/>
              <w:rPr>
                <w:rFonts w:ascii="宋体" w:hAnsi="宋体"/>
                <w:szCs w:val="21"/>
              </w:rPr>
            </w:pPr>
          </w:p>
          <w:p w14:paraId="58037203">
            <w:pPr>
              <w:snapToGrid w:val="0"/>
              <w:spacing w:line="288" w:lineRule="auto"/>
              <w:jc w:val="left"/>
              <w:rPr>
                <w:rFonts w:ascii="宋体" w:hAnsi="宋体"/>
                <w:szCs w:val="21"/>
              </w:rPr>
            </w:pPr>
            <w:r>
              <w:rPr>
                <w:rFonts w:hint="eastAsia" w:ascii="宋体" w:hAnsi="宋体"/>
                <w:szCs w:val="21"/>
              </w:rPr>
              <w:t>高寒、台风等特殊气候地区的质量管理资料</w:t>
            </w:r>
          </w:p>
        </w:tc>
        <w:tc>
          <w:tcPr>
            <w:tcW w:w="851" w:type="dxa"/>
            <w:vMerge w:val="continue"/>
            <w:tcBorders>
              <w:left w:val="single" w:color="auto" w:sz="4" w:space="0"/>
              <w:right w:val="single" w:color="auto" w:sz="4" w:space="0"/>
            </w:tcBorders>
            <w:noWrap w:val="0"/>
            <w:vAlign w:val="center"/>
          </w:tcPr>
          <w:p w14:paraId="748833CB">
            <w:pPr>
              <w:snapToGrid w:val="0"/>
              <w:spacing w:line="288" w:lineRule="auto"/>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B809F0">
            <w:pPr>
              <w:snapToGrid w:val="0"/>
              <w:spacing w:line="276" w:lineRule="auto"/>
              <w:rPr>
                <w:rFonts w:ascii="宋体" w:hAnsi="宋体"/>
                <w:szCs w:val="21"/>
              </w:rPr>
            </w:pPr>
            <w:r>
              <w:rPr>
                <w:rFonts w:hint="eastAsia" w:ascii="宋体" w:hAnsi="宋体"/>
                <w:szCs w:val="21"/>
              </w:rPr>
              <w:t>结合工程实体查质量管理资料</w:t>
            </w:r>
          </w:p>
        </w:tc>
      </w:tr>
      <w:tr w14:paraId="014C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atLeast"/>
        </w:trPr>
        <w:tc>
          <w:tcPr>
            <w:tcW w:w="567" w:type="dxa"/>
            <w:tcBorders>
              <w:left w:val="single" w:color="auto" w:sz="4" w:space="0"/>
              <w:bottom w:val="single" w:color="auto" w:sz="4" w:space="0"/>
              <w:right w:val="single" w:color="auto" w:sz="4" w:space="0"/>
            </w:tcBorders>
            <w:noWrap w:val="0"/>
            <w:vAlign w:val="center"/>
          </w:tcPr>
          <w:p w14:paraId="0AF98EE8">
            <w:pPr>
              <w:snapToGrid w:val="0"/>
              <w:spacing w:line="288" w:lineRule="auto"/>
              <w:jc w:val="center"/>
              <w:rPr>
                <w:rFonts w:ascii="宋体" w:hAnsi="宋体"/>
                <w:szCs w:val="21"/>
              </w:rPr>
            </w:pPr>
            <w:r>
              <w:rPr>
                <w:rFonts w:hint="eastAsia" w:ascii="宋体" w:hAnsi="宋体"/>
                <w:szCs w:val="21"/>
              </w:rPr>
              <w:t>2</w:t>
            </w:r>
          </w:p>
        </w:tc>
        <w:tc>
          <w:tcPr>
            <w:tcW w:w="1277" w:type="dxa"/>
            <w:tcBorders>
              <w:left w:val="single" w:color="auto" w:sz="4" w:space="0"/>
              <w:right w:val="single" w:color="auto" w:sz="4" w:space="0"/>
            </w:tcBorders>
            <w:noWrap w:val="0"/>
            <w:vAlign w:val="center"/>
          </w:tcPr>
          <w:p w14:paraId="09486381">
            <w:pPr>
              <w:snapToGrid w:val="0"/>
              <w:spacing w:line="240" w:lineRule="exact"/>
              <w:jc w:val="center"/>
              <w:rPr>
                <w:rFonts w:ascii="宋体" w:hAnsi="宋体"/>
                <w:szCs w:val="21"/>
              </w:rPr>
            </w:pPr>
            <w:r>
              <w:rPr>
                <w:rFonts w:ascii="宋体" w:hAnsi="宋体"/>
                <w:szCs w:val="21"/>
              </w:rPr>
              <w:t>热工计算书</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3E3D45D3">
            <w:pPr>
              <w:pStyle w:val="4"/>
              <w:snapToGrid w:val="0"/>
              <w:spacing w:line="288"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工程所有的幕墙类型（包括采光顶）都应有热工计算；无保温隔热要求的装饰幕墙、开缝构造的幕墙不用热工计算；</w:t>
            </w:r>
          </w:p>
          <w:p w14:paraId="4650D768">
            <w:pPr>
              <w:pStyle w:val="4"/>
              <w:snapToGrid w:val="0"/>
              <w:spacing w:line="288" w:lineRule="auto"/>
              <w:ind w:firstLine="0" w:firstLineChars="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各类型幕墙的热工计算应齐全完整不缺项，并有明确结论且满足建筑节能设计指标要求；</w:t>
            </w:r>
          </w:p>
          <w:p w14:paraId="083C7F52">
            <w:pPr>
              <w:pStyle w:val="4"/>
              <w:snapToGrid w:val="0"/>
              <w:spacing w:line="288" w:lineRule="auto"/>
              <w:ind w:firstLine="0" w:firstLineChars="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正确选择热工计算单元、正确选择计算参数，如气候分区、朝向、窗墙面积比等；</w:t>
            </w:r>
          </w:p>
          <w:p w14:paraId="25486EEE">
            <w:pPr>
              <w:pStyle w:val="4"/>
              <w:snapToGrid w:val="0"/>
              <w:spacing w:line="288" w:lineRule="auto"/>
              <w:ind w:firstLine="0" w:firstLineChars="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热工计算应符合现行国家和行业标准；</w:t>
            </w:r>
          </w:p>
          <w:p w14:paraId="70D5799F">
            <w:pPr>
              <w:pStyle w:val="4"/>
              <w:snapToGrid w:val="0"/>
              <w:spacing w:line="288" w:lineRule="auto"/>
              <w:ind w:firstLine="0" w:firstLineChars="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寒冷和严寒地区应进行结露性能评价计算；</w:t>
            </w:r>
          </w:p>
          <w:p w14:paraId="3164F66A">
            <w:pPr>
              <w:pStyle w:val="4"/>
              <w:snapToGrid w:val="0"/>
              <w:spacing w:line="288" w:lineRule="auto"/>
              <w:ind w:firstLine="0" w:firstLineChars="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应提供建筑设计院出具的建筑节能计算书或建筑施工图设计说明中的节能专篇，来明确各类型幕墙应当达到的热工性能具体数值。但是不能用建筑设计院出具的建筑节能计算书代替幕墙热工计算书；</w:t>
            </w:r>
          </w:p>
          <w:p w14:paraId="17107817">
            <w:pPr>
              <w:pStyle w:val="4"/>
              <w:snapToGrid w:val="0"/>
              <w:spacing w:line="288" w:lineRule="auto"/>
              <w:ind w:firstLine="0" w:firstLineChars="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热工计算书审批签字手续应齐全，加盖设计计算单位的公章或出图章。</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8E82543">
            <w:pPr>
              <w:snapToGrid w:val="0"/>
              <w:spacing w:line="288" w:lineRule="auto"/>
              <w:rPr>
                <w:rFonts w:ascii="宋体" w:hAnsi="宋体"/>
                <w:szCs w:val="21"/>
              </w:rPr>
            </w:pPr>
            <w:r>
              <w:rPr>
                <w:rFonts w:hint="eastAsia" w:ascii="宋体" w:hAnsi="宋体"/>
                <w:szCs w:val="21"/>
              </w:rPr>
              <w:t>1.无热工计算书（扣5分）；</w:t>
            </w:r>
          </w:p>
          <w:p w14:paraId="59A06DBD">
            <w:pPr>
              <w:snapToGrid w:val="0"/>
              <w:spacing w:line="288" w:lineRule="auto"/>
              <w:rPr>
                <w:rFonts w:ascii="宋体" w:hAnsi="宋体"/>
                <w:szCs w:val="21"/>
              </w:rPr>
            </w:pPr>
            <w:r>
              <w:rPr>
                <w:rFonts w:hint="eastAsia" w:ascii="宋体" w:hAnsi="宋体"/>
                <w:szCs w:val="21"/>
              </w:rPr>
              <w:t>2.计算出现严重错误或计算结果不满足建筑设计要求（每项扣0.5-3分）；</w:t>
            </w:r>
          </w:p>
          <w:p w14:paraId="5FF1F013">
            <w:pPr>
              <w:snapToGrid w:val="0"/>
              <w:spacing w:line="288" w:lineRule="auto"/>
              <w:rPr>
                <w:rFonts w:ascii="宋体" w:hAnsi="宋体"/>
                <w:szCs w:val="21"/>
              </w:rPr>
            </w:pPr>
            <w:r>
              <w:rPr>
                <w:rFonts w:hint="eastAsia" w:ascii="宋体" w:hAnsi="宋体"/>
                <w:szCs w:val="21"/>
              </w:rPr>
              <w:t>3.缺两种及以上主要幕墙类型的热工计算书（每项扣1-2分）</w:t>
            </w:r>
          </w:p>
          <w:p w14:paraId="5CEC3576">
            <w:pPr>
              <w:snapToGrid w:val="0"/>
              <w:spacing w:line="288" w:lineRule="auto"/>
              <w:rPr>
                <w:rFonts w:ascii="宋体" w:hAnsi="宋体"/>
                <w:szCs w:val="21"/>
              </w:rPr>
            </w:pPr>
            <w:r>
              <w:rPr>
                <w:rFonts w:hint="eastAsia" w:ascii="宋体" w:hAnsi="宋体"/>
                <w:szCs w:val="21"/>
              </w:rPr>
              <w:t>4.其它不符合要求或不合规情况（扣0.1-0.5分）</w:t>
            </w:r>
          </w:p>
        </w:tc>
        <w:tc>
          <w:tcPr>
            <w:tcW w:w="1701" w:type="dxa"/>
            <w:tcBorders>
              <w:left w:val="single" w:color="auto" w:sz="4" w:space="0"/>
              <w:right w:val="single" w:color="auto" w:sz="4" w:space="0"/>
            </w:tcBorders>
            <w:noWrap w:val="0"/>
            <w:vAlign w:val="center"/>
          </w:tcPr>
          <w:p w14:paraId="72CF9D5C">
            <w:pPr>
              <w:snapToGrid w:val="0"/>
              <w:spacing w:line="288" w:lineRule="auto"/>
              <w:jc w:val="left"/>
              <w:rPr>
                <w:rFonts w:ascii="宋体" w:hAnsi="宋体"/>
                <w:szCs w:val="21"/>
              </w:rPr>
            </w:pPr>
            <w:r>
              <w:rPr>
                <w:rFonts w:hint="eastAsia" w:ascii="宋体" w:hAnsi="宋体"/>
                <w:szCs w:val="21"/>
              </w:rPr>
              <w:t>重点检查有无热工计算书及计算出现严重错误情况；</w:t>
            </w:r>
          </w:p>
        </w:tc>
        <w:tc>
          <w:tcPr>
            <w:tcW w:w="851" w:type="dxa"/>
            <w:tcBorders>
              <w:left w:val="single" w:color="auto" w:sz="4" w:space="0"/>
              <w:right w:val="single" w:color="auto" w:sz="4" w:space="0"/>
            </w:tcBorders>
            <w:noWrap w:val="0"/>
            <w:vAlign w:val="center"/>
          </w:tcPr>
          <w:p w14:paraId="6C1D1C88">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752C13">
            <w:pPr>
              <w:snapToGrid w:val="0"/>
              <w:spacing w:line="288" w:lineRule="auto"/>
              <w:rPr>
                <w:rFonts w:ascii="宋体" w:hAnsi="宋体"/>
                <w:szCs w:val="21"/>
              </w:rPr>
            </w:pPr>
            <w:r>
              <w:rPr>
                <w:rFonts w:hint="eastAsia" w:ascii="宋体" w:hAnsi="宋体"/>
                <w:szCs w:val="21"/>
              </w:rPr>
              <w:t>结合工程实体查热工计算书及相关资料</w:t>
            </w:r>
          </w:p>
        </w:tc>
      </w:tr>
      <w:tr w14:paraId="25F3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567" w:type="dxa"/>
            <w:tcBorders>
              <w:left w:val="single" w:color="auto" w:sz="4" w:space="0"/>
              <w:bottom w:val="single" w:color="auto" w:sz="4" w:space="0"/>
              <w:right w:val="single" w:color="auto" w:sz="4" w:space="0"/>
            </w:tcBorders>
            <w:noWrap w:val="0"/>
            <w:vAlign w:val="center"/>
          </w:tcPr>
          <w:p w14:paraId="5CC62FF8">
            <w:pPr>
              <w:snapToGrid w:val="0"/>
              <w:spacing w:line="288" w:lineRule="auto"/>
              <w:jc w:val="center"/>
              <w:rPr>
                <w:rFonts w:ascii="宋体" w:hAnsi="宋体"/>
                <w:szCs w:val="21"/>
              </w:rPr>
            </w:pPr>
            <w:r>
              <w:rPr>
                <w:rFonts w:hint="eastAsia" w:ascii="宋体" w:hAnsi="宋体"/>
                <w:szCs w:val="21"/>
              </w:rPr>
              <w:t>3</w:t>
            </w:r>
          </w:p>
        </w:tc>
        <w:tc>
          <w:tcPr>
            <w:tcW w:w="1277" w:type="dxa"/>
            <w:tcBorders>
              <w:left w:val="single" w:color="auto" w:sz="4" w:space="0"/>
              <w:right w:val="single" w:color="auto" w:sz="4" w:space="0"/>
            </w:tcBorders>
            <w:noWrap w:val="0"/>
            <w:vAlign w:val="center"/>
          </w:tcPr>
          <w:p w14:paraId="023B5628">
            <w:pPr>
              <w:snapToGrid w:val="0"/>
              <w:spacing w:line="240" w:lineRule="exact"/>
              <w:jc w:val="center"/>
              <w:rPr>
                <w:rFonts w:ascii="宋体" w:hAnsi="宋体"/>
                <w:szCs w:val="21"/>
              </w:rPr>
            </w:pPr>
            <w:r>
              <w:rPr>
                <w:rFonts w:ascii="宋体" w:hAnsi="宋体"/>
                <w:szCs w:val="21"/>
              </w:rPr>
              <w:t>结构计算书</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74D8EC5">
            <w:pPr>
              <w:snapToGrid w:val="0"/>
              <w:spacing w:line="288" w:lineRule="auto"/>
              <w:rPr>
                <w:szCs w:val="21"/>
              </w:rPr>
            </w:pPr>
            <w:r>
              <w:rPr>
                <w:rFonts w:hint="eastAsia"/>
                <w:szCs w:val="21"/>
              </w:rPr>
              <w:t>1</w:t>
            </w:r>
            <w:r>
              <w:rPr>
                <w:szCs w:val="21"/>
              </w:rPr>
              <w:t>.</w:t>
            </w:r>
            <w:r>
              <w:rPr>
                <w:rFonts w:hint="eastAsia"/>
                <w:szCs w:val="21"/>
              </w:rPr>
              <w:t>工程所有的幕墙类型（包括采光顶、雨蓬、外挂遮阳及装饰构件）都应有结构计算书；</w:t>
            </w:r>
          </w:p>
          <w:p w14:paraId="6503E3C0">
            <w:pPr>
              <w:snapToGrid w:val="0"/>
              <w:spacing w:line="288" w:lineRule="auto"/>
              <w:rPr>
                <w:szCs w:val="21"/>
              </w:rPr>
            </w:pPr>
            <w:r>
              <w:rPr>
                <w:rFonts w:hint="eastAsia"/>
                <w:szCs w:val="21"/>
              </w:rPr>
              <w:t>2</w:t>
            </w:r>
            <w:r>
              <w:rPr>
                <w:szCs w:val="21"/>
              </w:rPr>
              <w:t>.</w:t>
            </w:r>
            <w:r>
              <w:rPr>
                <w:rFonts w:hint="eastAsia"/>
                <w:szCs w:val="21"/>
              </w:rPr>
              <w:t>结构计算内容应齐全完整不缺项（面板及龙骨强度、挠度计算，结构胶宽度、厚度计算，所有连接件都应进行强度计算，预埋件计算，焊缝长度、高度、宽度计算，玻璃托条计算，横梁端头固定件计算），计算应有明确结论，计算结果满足工程设计要求；</w:t>
            </w:r>
          </w:p>
          <w:p w14:paraId="17399CD4">
            <w:pPr>
              <w:snapToGrid w:val="0"/>
              <w:spacing w:line="288" w:lineRule="auto"/>
              <w:rPr>
                <w:szCs w:val="21"/>
              </w:rPr>
            </w:pPr>
            <w:r>
              <w:rPr>
                <w:rFonts w:hint="eastAsia"/>
                <w:szCs w:val="21"/>
              </w:rPr>
              <w:t>3</w:t>
            </w:r>
            <w:r>
              <w:rPr>
                <w:szCs w:val="21"/>
              </w:rPr>
              <w:t>.</w:t>
            </w:r>
            <w:r>
              <w:rPr>
                <w:rFonts w:hint="eastAsia"/>
                <w:szCs w:val="21"/>
              </w:rPr>
              <w:t>有后置埋件的、采用背栓连接面材的，应当分别对后置锚栓、背栓做受力计算；</w:t>
            </w:r>
          </w:p>
          <w:p w14:paraId="1639CDC0">
            <w:pPr>
              <w:snapToGrid w:val="0"/>
              <w:spacing w:line="288" w:lineRule="auto"/>
              <w:rPr>
                <w:szCs w:val="21"/>
              </w:rPr>
            </w:pPr>
            <w:r>
              <w:rPr>
                <w:rFonts w:hint="eastAsia"/>
                <w:szCs w:val="21"/>
              </w:rPr>
              <w:t>4</w:t>
            </w:r>
            <w:r>
              <w:rPr>
                <w:szCs w:val="21"/>
              </w:rPr>
              <w:t>.</w:t>
            </w:r>
            <w:r>
              <w:rPr>
                <w:rFonts w:hint="eastAsia"/>
                <w:szCs w:val="21"/>
              </w:rPr>
              <w:t>正确选择计算单元，对受力最不利的各个部位都应当计算；</w:t>
            </w:r>
          </w:p>
          <w:p w14:paraId="7466B462">
            <w:pPr>
              <w:snapToGrid w:val="0"/>
              <w:spacing w:line="288" w:lineRule="auto"/>
              <w:rPr>
                <w:szCs w:val="21"/>
              </w:rPr>
            </w:pPr>
            <w:r>
              <w:rPr>
                <w:rFonts w:hint="eastAsia"/>
                <w:szCs w:val="21"/>
              </w:rPr>
              <w:t>5</w:t>
            </w:r>
            <w:r>
              <w:rPr>
                <w:szCs w:val="21"/>
              </w:rPr>
              <w:t>.</w:t>
            </w:r>
            <w:r>
              <w:rPr>
                <w:rFonts w:hint="eastAsia"/>
                <w:szCs w:val="21"/>
              </w:rPr>
              <w:t>正确、合理选择计算参数（各种荷载及作用的参数及其组合，材料力学特性数值）；</w:t>
            </w:r>
          </w:p>
          <w:p w14:paraId="250705A3">
            <w:pPr>
              <w:snapToGrid w:val="0"/>
              <w:spacing w:line="288" w:lineRule="auto"/>
              <w:rPr>
                <w:szCs w:val="21"/>
              </w:rPr>
            </w:pPr>
            <w:r>
              <w:rPr>
                <w:rFonts w:hint="eastAsia"/>
                <w:szCs w:val="21"/>
              </w:rPr>
              <w:t>6</w:t>
            </w:r>
            <w:r>
              <w:rPr>
                <w:szCs w:val="21"/>
              </w:rPr>
              <w:t>.</w:t>
            </w:r>
            <w:r>
              <w:rPr>
                <w:rFonts w:hint="eastAsia"/>
                <w:szCs w:val="21"/>
              </w:rPr>
              <w:t>龙骨、面材、连接结构的计算模型应当与图纸及实际施工情况一致，真实、正确反映受力情况；</w:t>
            </w:r>
          </w:p>
          <w:p w14:paraId="27E9809F">
            <w:pPr>
              <w:snapToGrid w:val="0"/>
              <w:spacing w:line="288" w:lineRule="auto"/>
              <w:rPr>
                <w:szCs w:val="21"/>
              </w:rPr>
            </w:pPr>
            <w:r>
              <w:rPr>
                <w:rFonts w:hint="eastAsia" w:ascii="宋体" w:hAnsi="宋体"/>
                <w:szCs w:val="21"/>
              </w:rPr>
              <w:t>7</w:t>
            </w:r>
            <w:r>
              <w:rPr>
                <w:rFonts w:ascii="宋体" w:hAnsi="宋体"/>
                <w:szCs w:val="21"/>
              </w:rPr>
              <w:t>.</w:t>
            </w:r>
            <w:r>
              <w:rPr>
                <w:rFonts w:hint="eastAsia" w:ascii="宋体" w:hAnsi="宋体"/>
                <w:szCs w:val="21"/>
              </w:rPr>
              <w:t>沿海及台风多发地区应对开启窗做计算，计算内容应涵盖面材及所有传力的构件、配件和材料；</w:t>
            </w:r>
          </w:p>
          <w:p w14:paraId="276DC79C">
            <w:pPr>
              <w:snapToGrid w:val="0"/>
              <w:spacing w:line="288" w:lineRule="auto"/>
              <w:rPr>
                <w:szCs w:val="21"/>
              </w:rPr>
            </w:pPr>
            <w:r>
              <w:rPr>
                <w:rFonts w:hint="eastAsia" w:ascii="宋体" w:hAnsi="宋体"/>
                <w:szCs w:val="21"/>
              </w:rPr>
              <w:t>8</w:t>
            </w:r>
            <w:r>
              <w:rPr>
                <w:rFonts w:ascii="宋体" w:hAnsi="宋体"/>
                <w:szCs w:val="21"/>
              </w:rPr>
              <w:t>.</w:t>
            </w:r>
            <w:r>
              <w:rPr>
                <w:rFonts w:hint="eastAsia" w:ascii="宋体" w:hAnsi="宋体"/>
                <w:szCs w:val="21"/>
              </w:rPr>
              <w:t>预应力索杆结构的计算书应当提供主体结构的拉力值和预应力值，跨度大于8米的，必须有主体结构设计单位出具的技术文件，确认主体结构能够承受索杆体系对其的作用力；</w:t>
            </w:r>
          </w:p>
          <w:p w14:paraId="206E5EC3">
            <w:pPr>
              <w:snapToGrid w:val="0"/>
              <w:spacing w:line="288" w:lineRule="auto"/>
              <w:rPr>
                <w:szCs w:val="21"/>
              </w:rPr>
            </w:pPr>
            <w:r>
              <w:rPr>
                <w:rFonts w:hint="eastAsia" w:ascii="宋体" w:hAnsi="宋体"/>
                <w:szCs w:val="21"/>
              </w:rPr>
              <w:t>9</w:t>
            </w:r>
            <w:r>
              <w:rPr>
                <w:rFonts w:ascii="宋体" w:hAnsi="宋体"/>
                <w:szCs w:val="21"/>
              </w:rPr>
              <w:t>.</w:t>
            </w:r>
            <w:r>
              <w:rPr>
                <w:rFonts w:hint="eastAsia" w:ascii="宋体" w:hAnsi="宋体"/>
                <w:szCs w:val="21"/>
              </w:rPr>
              <w:t>结构计算书审批签字手续应齐全，加盖设计计算单位的公章或出图章。</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CA1783A">
            <w:pPr>
              <w:snapToGrid w:val="0"/>
              <w:spacing w:line="288" w:lineRule="auto"/>
              <w:rPr>
                <w:szCs w:val="21"/>
              </w:rPr>
            </w:pPr>
            <w:r>
              <w:rPr>
                <w:rFonts w:hint="eastAsia"/>
                <w:szCs w:val="21"/>
              </w:rPr>
              <w:t>1</w:t>
            </w:r>
            <w:r>
              <w:rPr>
                <w:szCs w:val="21"/>
              </w:rPr>
              <w:t>.</w:t>
            </w:r>
            <w:r>
              <w:rPr>
                <w:rFonts w:hint="eastAsia"/>
                <w:szCs w:val="21"/>
              </w:rPr>
              <w:t>无结构计算书的（扣20分）；</w:t>
            </w:r>
          </w:p>
          <w:p w14:paraId="340B9CA8">
            <w:pPr>
              <w:snapToGrid w:val="0"/>
              <w:spacing w:line="288" w:lineRule="auto"/>
              <w:rPr>
                <w:rFonts w:ascii="Calibri" w:hAnsi="Calibri"/>
                <w:szCs w:val="21"/>
              </w:rPr>
            </w:pPr>
            <w:r>
              <w:rPr>
                <w:rFonts w:hint="eastAsia" w:ascii="Calibri" w:hAnsi="Calibri"/>
                <w:szCs w:val="21"/>
              </w:rPr>
              <w:t>2.计算出现严重错误或计算结果不满足工程设计要求，使结构存在安全隐患（每项扣3-10分）；</w:t>
            </w:r>
          </w:p>
          <w:p w14:paraId="1B286D51">
            <w:pPr>
              <w:snapToGrid w:val="0"/>
              <w:spacing w:line="288" w:lineRule="auto"/>
              <w:rPr>
                <w:rFonts w:ascii="Calibri" w:hAnsi="Calibri"/>
                <w:szCs w:val="21"/>
              </w:rPr>
            </w:pPr>
            <w:r>
              <w:rPr>
                <w:rFonts w:hint="eastAsia" w:ascii="Calibri" w:hAnsi="Calibri"/>
                <w:szCs w:val="21"/>
              </w:rPr>
              <w:t>3.缺两种及以上主要幕墙类型的计算书（每项扣2-5分）；</w:t>
            </w:r>
          </w:p>
          <w:p w14:paraId="34B694F8">
            <w:pPr>
              <w:snapToGrid w:val="0"/>
              <w:spacing w:line="288" w:lineRule="auto"/>
              <w:rPr>
                <w:rFonts w:ascii="Calibri" w:hAnsi="Calibri"/>
                <w:szCs w:val="21"/>
              </w:rPr>
            </w:pPr>
            <w:r>
              <w:rPr>
                <w:rFonts w:hint="eastAsia" w:ascii="Calibri" w:hAnsi="Calibri"/>
                <w:szCs w:val="21"/>
              </w:rPr>
              <w:t>4.其它不符合要求或不合规情况（每项扣0.2-1分）</w:t>
            </w:r>
          </w:p>
        </w:tc>
        <w:tc>
          <w:tcPr>
            <w:tcW w:w="1701" w:type="dxa"/>
            <w:tcBorders>
              <w:left w:val="single" w:color="auto" w:sz="4" w:space="0"/>
              <w:right w:val="single" w:color="auto" w:sz="4" w:space="0"/>
            </w:tcBorders>
            <w:noWrap w:val="0"/>
            <w:vAlign w:val="center"/>
          </w:tcPr>
          <w:p w14:paraId="1B191F32">
            <w:pPr>
              <w:snapToGrid w:val="0"/>
              <w:spacing w:line="288" w:lineRule="auto"/>
              <w:rPr>
                <w:szCs w:val="21"/>
              </w:rPr>
            </w:pPr>
            <w:r>
              <w:rPr>
                <w:rFonts w:hint="eastAsia"/>
                <w:szCs w:val="21"/>
              </w:rPr>
              <w:t>重点检查有无结构计算书及关键重点部位的计算书与计算结果</w:t>
            </w:r>
          </w:p>
        </w:tc>
        <w:tc>
          <w:tcPr>
            <w:tcW w:w="851" w:type="dxa"/>
            <w:tcBorders>
              <w:left w:val="single" w:color="auto" w:sz="4" w:space="0"/>
              <w:right w:val="single" w:color="auto" w:sz="4" w:space="0"/>
            </w:tcBorders>
            <w:noWrap w:val="0"/>
            <w:vAlign w:val="center"/>
          </w:tcPr>
          <w:p w14:paraId="03DCAB65">
            <w:pPr>
              <w:snapToGrid w:val="0"/>
              <w:spacing w:line="288" w:lineRule="auto"/>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EC0354">
            <w:pPr>
              <w:snapToGrid w:val="0"/>
              <w:spacing w:line="288" w:lineRule="auto"/>
              <w:rPr>
                <w:szCs w:val="21"/>
              </w:rPr>
            </w:pPr>
            <w:r>
              <w:rPr>
                <w:rFonts w:hint="eastAsia"/>
                <w:szCs w:val="21"/>
              </w:rPr>
              <w:t>结合工程实体查结构计算书、技术资料等</w:t>
            </w:r>
          </w:p>
        </w:tc>
      </w:tr>
      <w:tr w14:paraId="6547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567" w:type="dxa"/>
            <w:tcBorders>
              <w:left w:val="single" w:color="auto" w:sz="4" w:space="0"/>
              <w:bottom w:val="single" w:color="auto" w:sz="4" w:space="0"/>
              <w:right w:val="single" w:color="auto" w:sz="4" w:space="0"/>
            </w:tcBorders>
            <w:noWrap w:val="0"/>
            <w:vAlign w:val="center"/>
          </w:tcPr>
          <w:p w14:paraId="0E353F67">
            <w:pPr>
              <w:snapToGrid w:val="0"/>
              <w:spacing w:line="288" w:lineRule="auto"/>
              <w:jc w:val="center"/>
              <w:rPr>
                <w:rFonts w:ascii="宋体" w:hAnsi="宋体"/>
                <w:szCs w:val="21"/>
              </w:rPr>
            </w:pPr>
            <w:r>
              <w:rPr>
                <w:rFonts w:hint="eastAsia" w:ascii="宋体" w:hAnsi="宋体"/>
                <w:szCs w:val="21"/>
              </w:rPr>
              <w:t>4</w:t>
            </w:r>
          </w:p>
        </w:tc>
        <w:tc>
          <w:tcPr>
            <w:tcW w:w="1277" w:type="dxa"/>
            <w:tcBorders>
              <w:left w:val="single" w:color="auto" w:sz="4" w:space="0"/>
              <w:right w:val="single" w:color="auto" w:sz="4" w:space="0"/>
            </w:tcBorders>
            <w:noWrap w:val="0"/>
            <w:vAlign w:val="center"/>
          </w:tcPr>
          <w:p w14:paraId="7B8A30D8">
            <w:pPr>
              <w:snapToGrid w:val="0"/>
              <w:spacing w:line="240" w:lineRule="exact"/>
              <w:jc w:val="center"/>
              <w:rPr>
                <w:rFonts w:ascii="宋体" w:hAnsi="宋体"/>
                <w:szCs w:val="21"/>
              </w:rPr>
            </w:pPr>
            <w:r>
              <w:rPr>
                <w:rFonts w:ascii="宋体" w:hAnsi="宋体"/>
                <w:szCs w:val="21"/>
              </w:rPr>
              <w:t>竣工图纸</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1A30E0B">
            <w:pPr>
              <w:spacing w:line="276" w:lineRule="auto"/>
              <w:rPr>
                <w:szCs w:val="21"/>
              </w:rPr>
            </w:pPr>
            <w:r>
              <w:rPr>
                <w:rFonts w:hint="eastAsia"/>
                <w:szCs w:val="21"/>
              </w:rPr>
              <w:t>1</w:t>
            </w:r>
            <w:r>
              <w:rPr>
                <w:szCs w:val="21"/>
              </w:rPr>
              <w:t>.</w:t>
            </w:r>
            <w:r>
              <w:rPr>
                <w:rFonts w:hint="eastAsia"/>
                <w:szCs w:val="21"/>
              </w:rPr>
              <w:t>竣工图纸应按标准要求编制，审批手续齐全并经有资质的幕墙设计单位确认；</w:t>
            </w:r>
          </w:p>
          <w:p w14:paraId="7EB2B388">
            <w:pPr>
              <w:snapToGrid w:val="0"/>
              <w:spacing w:line="276" w:lineRule="auto"/>
              <w:rPr>
                <w:szCs w:val="21"/>
              </w:rPr>
            </w:pPr>
            <w:r>
              <w:rPr>
                <w:rFonts w:hint="eastAsia"/>
                <w:szCs w:val="21"/>
              </w:rPr>
              <w:t>2</w:t>
            </w:r>
            <w:r>
              <w:rPr>
                <w:szCs w:val="21"/>
              </w:rPr>
              <w:t>.</w:t>
            </w:r>
            <w:r>
              <w:rPr>
                <w:rFonts w:hint="eastAsia"/>
                <w:szCs w:val="21"/>
              </w:rPr>
              <w:t>竣工图内容应包括：目录、设计说明、平面图、立面图、剖面图、各类型幕墙的大样详图，节点图，构件图，型材截面图、预埋件或后置埋件图等；</w:t>
            </w:r>
          </w:p>
          <w:p w14:paraId="04234E9A">
            <w:pPr>
              <w:snapToGrid w:val="0"/>
              <w:spacing w:line="276" w:lineRule="auto"/>
              <w:rPr>
                <w:szCs w:val="21"/>
              </w:rPr>
            </w:pPr>
            <w:r>
              <w:rPr>
                <w:rFonts w:hint="eastAsia"/>
                <w:szCs w:val="21"/>
              </w:rPr>
              <w:t>3</w:t>
            </w:r>
            <w:r>
              <w:rPr>
                <w:szCs w:val="21"/>
              </w:rPr>
              <w:t>.</w:t>
            </w:r>
            <w:r>
              <w:rPr>
                <w:rFonts w:hint="eastAsia"/>
                <w:szCs w:val="21"/>
              </w:rPr>
              <w:t>设计说明应包括如下内容：工程概况、设计参数、设计依据、设计标准、设计范围、各主要幕墙类型及其设计构造、幕墙物理性能、热工性能、避雷防火说明、所用材料的材质规格、加工制作技术要求等。使用后置锚栓、石材背栓的，应当注明锚栓或背栓的拉拔力设计值和乘以2倍之后的拉拔力试验值；</w:t>
            </w:r>
          </w:p>
          <w:p w14:paraId="1C0C98A9">
            <w:pPr>
              <w:snapToGrid w:val="0"/>
              <w:spacing w:line="276" w:lineRule="auto"/>
              <w:rPr>
                <w:szCs w:val="21"/>
              </w:rPr>
            </w:pPr>
            <w:r>
              <w:rPr>
                <w:rFonts w:hint="eastAsia"/>
                <w:szCs w:val="21"/>
              </w:rPr>
              <w:t>4</w:t>
            </w:r>
            <w:r>
              <w:rPr>
                <w:szCs w:val="21"/>
              </w:rPr>
              <w:t>.</w:t>
            </w:r>
            <w:r>
              <w:rPr>
                <w:rFonts w:hint="eastAsia"/>
                <w:szCs w:val="21"/>
              </w:rPr>
              <w:t>节点图应包括各幕墙系统横梁立柱的典型节点、与主体结构连接节点、开启扇节点、转角节点、防火防雷节点、封口节点、沉降缝节点等）；</w:t>
            </w:r>
          </w:p>
          <w:p w14:paraId="55E7436E">
            <w:pPr>
              <w:snapToGrid w:val="0"/>
              <w:spacing w:line="276" w:lineRule="auto"/>
              <w:rPr>
                <w:szCs w:val="21"/>
              </w:rPr>
            </w:pPr>
            <w:r>
              <w:rPr>
                <w:rFonts w:hint="eastAsia"/>
                <w:szCs w:val="21"/>
              </w:rPr>
              <w:t>5</w:t>
            </w:r>
            <w:r>
              <w:rPr>
                <w:szCs w:val="21"/>
              </w:rPr>
              <w:t>.</w:t>
            </w:r>
            <w:r>
              <w:rPr>
                <w:rFonts w:hint="eastAsia"/>
                <w:szCs w:val="21"/>
              </w:rPr>
              <w:t>幕墙设计（包括性能、节点构造、使用材料）应符合相关规范和标准的要求，符合原建筑设计的要求；</w:t>
            </w:r>
          </w:p>
          <w:p w14:paraId="4DE06A2D">
            <w:pPr>
              <w:snapToGrid w:val="0"/>
              <w:spacing w:line="276" w:lineRule="auto"/>
              <w:rPr>
                <w:szCs w:val="21"/>
              </w:rPr>
            </w:pPr>
            <w:r>
              <w:rPr>
                <w:rFonts w:hint="eastAsia"/>
                <w:szCs w:val="21"/>
              </w:rPr>
              <w:t>6</w:t>
            </w:r>
            <w:r>
              <w:rPr>
                <w:szCs w:val="21"/>
              </w:rPr>
              <w:t>.</w:t>
            </w:r>
            <w:r>
              <w:rPr>
                <w:rFonts w:hint="eastAsia"/>
                <w:szCs w:val="21"/>
              </w:rPr>
              <w:t>隐框或半隐框玻璃幕墙、隐框做法的玻璃开启扇等使用结构胶的部位，应标注结构胶的宽度、厚度尺寸。重要连接位置的焊缝应标注焊缝尺寸。寒冷和严寒地区的幕墙节点中不得有明显冷桥；</w:t>
            </w:r>
          </w:p>
          <w:p w14:paraId="2A8F8B57">
            <w:pPr>
              <w:snapToGrid w:val="0"/>
              <w:spacing w:line="276" w:lineRule="auto"/>
              <w:rPr>
                <w:szCs w:val="21"/>
              </w:rPr>
            </w:pPr>
            <w:r>
              <w:rPr>
                <w:rFonts w:hint="eastAsia" w:ascii="宋体" w:hAnsi="宋体"/>
                <w:szCs w:val="21"/>
              </w:rPr>
              <w:t>7</w:t>
            </w:r>
            <w:r>
              <w:rPr>
                <w:rFonts w:ascii="宋体" w:hAnsi="宋体"/>
                <w:szCs w:val="21"/>
              </w:rPr>
              <w:t>.</w:t>
            </w:r>
            <w:r>
              <w:rPr>
                <w:rFonts w:hint="eastAsia" w:ascii="宋体" w:hAnsi="宋体"/>
                <w:szCs w:val="21"/>
              </w:rPr>
              <w:t>旧改工程，应当有主体结构设计单位对幕墙工程图纸进行受力复核，审核确认幕墙（含雨蓬、采光顶）对主体结构作用力在其可承受范围内。</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A6085DC">
            <w:pPr>
              <w:snapToGrid w:val="0"/>
              <w:spacing w:line="288" w:lineRule="auto"/>
              <w:rPr>
                <w:szCs w:val="21"/>
              </w:rPr>
            </w:pPr>
            <w:r>
              <w:rPr>
                <w:rFonts w:hint="eastAsia"/>
                <w:szCs w:val="21"/>
              </w:rPr>
              <w:t>1</w:t>
            </w:r>
            <w:r>
              <w:rPr>
                <w:szCs w:val="21"/>
              </w:rPr>
              <w:t>.</w:t>
            </w:r>
            <w:r>
              <w:rPr>
                <w:rFonts w:hint="eastAsia"/>
                <w:szCs w:val="21"/>
              </w:rPr>
              <w:t>竣工图没有设计说明或说明不符合要求的（每项扣1-3分）；</w:t>
            </w:r>
          </w:p>
          <w:p w14:paraId="7E799570">
            <w:pPr>
              <w:snapToGrid w:val="0"/>
              <w:spacing w:line="288" w:lineRule="auto"/>
              <w:rPr>
                <w:szCs w:val="21"/>
              </w:rPr>
            </w:pPr>
            <w:r>
              <w:rPr>
                <w:rFonts w:hint="eastAsia"/>
                <w:szCs w:val="21"/>
              </w:rPr>
              <w:t>2</w:t>
            </w:r>
            <w:r>
              <w:rPr>
                <w:szCs w:val="21"/>
              </w:rPr>
              <w:t>.</w:t>
            </w:r>
            <w:r>
              <w:rPr>
                <w:rFonts w:hint="eastAsia"/>
                <w:szCs w:val="21"/>
              </w:rPr>
              <w:t>缺两种及以上主要幕墙类型的竣工图（每项扣3-5分）；</w:t>
            </w:r>
          </w:p>
          <w:p w14:paraId="28B99832">
            <w:pPr>
              <w:snapToGrid w:val="0"/>
              <w:spacing w:line="288" w:lineRule="auto"/>
              <w:rPr>
                <w:szCs w:val="21"/>
              </w:rPr>
            </w:pPr>
            <w:r>
              <w:rPr>
                <w:rFonts w:hint="eastAsia"/>
                <w:szCs w:val="21"/>
              </w:rPr>
              <w:t>3</w:t>
            </w:r>
            <w:r>
              <w:rPr>
                <w:szCs w:val="21"/>
              </w:rPr>
              <w:t>.</w:t>
            </w:r>
            <w:r>
              <w:rPr>
                <w:rFonts w:hint="eastAsia"/>
                <w:szCs w:val="21"/>
              </w:rPr>
              <w:t>其它不符合要求或不合规情况（每项扣0.5-2分）</w:t>
            </w:r>
          </w:p>
        </w:tc>
        <w:tc>
          <w:tcPr>
            <w:tcW w:w="1701" w:type="dxa"/>
            <w:tcBorders>
              <w:left w:val="single" w:color="auto" w:sz="4" w:space="0"/>
              <w:right w:val="single" w:color="auto" w:sz="4" w:space="0"/>
            </w:tcBorders>
            <w:noWrap w:val="0"/>
            <w:vAlign w:val="center"/>
          </w:tcPr>
          <w:p w14:paraId="2962226A">
            <w:pPr>
              <w:snapToGrid w:val="0"/>
              <w:spacing w:line="288" w:lineRule="auto"/>
              <w:rPr>
                <w:szCs w:val="21"/>
              </w:rPr>
            </w:pPr>
            <w:r>
              <w:rPr>
                <w:rFonts w:hint="eastAsia"/>
                <w:szCs w:val="21"/>
              </w:rPr>
              <w:t>竣工图纸应齐全规范，签字签章齐全有效；正确使用标准规范，内容正确、齐全、有效。</w:t>
            </w:r>
          </w:p>
          <w:p w14:paraId="4DA3E4C5">
            <w:pPr>
              <w:snapToGrid w:val="0"/>
              <w:spacing w:line="288" w:lineRule="auto"/>
              <w:rPr>
                <w:szCs w:val="21"/>
              </w:rPr>
            </w:pPr>
            <w:r>
              <w:rPr>
                <w:rFonts w:hint="eastAsia"/>
                <w:szCs w:val="21"/>
              </w:rPr>
              <w:t>竣工图与工程实体符合性。</w:t>
            </w:r>
          </w:p>
        </w:tc>
        <w:tc>
          <w:tcPr>
            <w:tcW w:w="851" w:type="dxa"/>
            <w:tcBorders>
              <w:left w:val="single" w:color="auto" w:sz="4" w:space="0"/>
              <w:right w:val="single" w:color="auto" w:sz="4" w:space="0"/>
            </w:tcBorders>
            <w:noWrap w:val="0"/>
            <w:vAlign w:val="center"/>
          </w:tcPr>
          <w:p w14:paraId="734353EE">
            <w:pPr>
              <w:snapToGrid w:val="0"/>
              <w:spacing w:line="288" w:lineRule="auto"/>
              <w:jc w:val="center"/>
              <w:rPr>
                <w:rFonts w:ascii="宋体" w:hAnsi="宋体"/>
                <w:szCs w:val="21"/>
              </w:rPr>
            </w:pPr>
            <w:r>
              <w:rPr>
                <w:rFonts w:hint="eastAsia" w:ascii="宋体" w:hAnsi="宋体"/>
                <w:szCs w:val="21"/>
              </w:rPr>
              <w:t>15分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4F66EB">
            <w:pPr>
              <w:snapToGrid w:val="0"/>
              <w:spacing w:line="288" w:lineRule="auto"/>
              <w:rPr>
                <w:szCs w:val="21"/>
              </w:rPr>
            </w:pPr>
            <w:r>
              <w:rPr>
                <w:rFonts w:hint="eastAsia"/>
                <w:szCs w:val="21"/>
              </w:rPr>
              <w:t>结合工程实体查竣工图纸</w:t>
            </w:r>
          </w:p>
        </w:tc>
      </w:tr>
    </w:tbl>
    <w:p w14:paraId="2A7936E7">
      <w:r>
        <w:br w:type="page"/>
      </w:r>
    </w:p>
    <w:tbl>
      <w:tblPr>
        <w:tblStyle w:val="2"/>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7"/>
        <w:gridCol w:w="4961"/>
        <w:gridCol w:w="2409"/>
        <w:gridCol w:w="1701"/>
        <w:gridCol w:w="851"/>
        <w:gridCol w:w="2268"/>
      </w:tblGrid>
      <w:tr w14:paraId="29D4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7" w:type="dxa"/>
            <w:tcBorders>
              <w:left w:val="single" w:color="auto" w:sz="4" w:space="0"/>
              <w:bottom w:val="single" w:color="auto" w:sz="4" w:space="0"/>
              <w:right w:val="single" w:color="auto" w:sz="4" w:space="0"/>
            </w:tcBorders>
            <w:noWrap w:val="0"/>
            <w:vAlign w:val="center"/>
          </w:tcPr>
          <w:p w14:paraId="5B163234">
            <w:pPr>
              <w:snapToGrid w:val="0"/>
              <w:spacing w:line="288" w:lineRule="auto"/>
              <w:jc w:val="center"/>
              <w:rPr>
                <w:rFonts w:ascii="宋体" w:hAnsi="宋体"/>
                <w:szCs w:val="21"/>
              </w:rPr>
            </w:pPr>
            <w:r>
              <w:rPr>
                <w:rFonts w:hint="eastAsia" w:ascii="宋体" w:hAnsi="宋体"/>
                <w:szCs w:val="21"/>
              </w:rPr>
              <w:t>5</w:t>
            </w:r>
          </w:p>
        </w:tc>
        <w:tc>
          <w:tcPr>
            <w:tcW w:w="1277" w:type="dxa"/>
            <w:tcBorders>
              <w:left w:val="single" w:color="auto" w:sz="4" w:space="0"/>
              <w:right w:val="single" w:color="auto" w:sz="4" w:space="0"/>
            </w:tcBorders>
            <w:noWrap w:val="0"/>
            <w:vAlign w:val="center"/>
          </w:tcPr>
          <w:p w14:paraId="160FE1A2">
            <w:pPr>
              <w:snapToGrid w:val="0"/>
              <w:spacing w:line="240" w:lineRule="exact"/>
              <w:jc w:val="center"/>
              <w:rPr>
                <w:rFonts w:ascii="宋体" w:hAnsi="宋体"/>
                <w:szCs w:val="21"/>
              </w:rPr>
            </w:pPr>
            <w:r>
              <w:rPr>
                <w:rFonts w:ascii="宋体" w:hAnsi="宋体"/>
                <w:szCs w:val="21"/>
              </w:rPr>
              <w:t>工程实体</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19EB4885">
            <w:pPr>
              <w:snapToGrid w:val="0"/>
              <w:spacing w:line="276" w:lineRule="auto"/>
              <w:rPr>
                <w:szCs w:val="21"/>
              </w:rPr>
            </w:pPr>
            <w:r>
              <w:rPr>
                <w:rFonts w:hint="eastAsia"/>
                <w:szCs w:val="21"/>
              </w:rPr>
              <w:t>1</w:t>
            </w:r>
            <w:r>
              <w:rPr>
                <w:szCs w:val="21"/>
              </w:rPr>
              <w:t>.</w:t>
            </w:r>
            <w:r>
              <w:rPr>
                <w:rFonts w:hint="eastAsia"/>
                <w:szCs w:val="21"/>
              </w:rPr>
              <w:t>整体装饰效果应好或很好；</w:t>
            </w:r>
          </w:p>
          <w:p w14:paraId="06A4D466">
            <w:pPr>
              <w:snapToGrid w:val="0"/>
              <w:spacing w:line="276" w:lineRule="auto"/>
              <w:rPr>
                <w:szCs w:val="21"/>
              </w:rPr>
            </w:pPr>
            <w:r>
              <w:rPr>
                <w:rFonts w:hint="eastAsia"/>
                <w:szCs w:val="21"/>
              </w:rPr>
              <w:t>2</w:t>
            </w:r>
            <w:r>
              <w:rPr>
                <w:szCs w:val="21"/>
              </w:rPr>
              <w:t>.</w:t>
            </w:r>
            <w:r>
              <w:rPr>
                <w:rFonts w:hint="eastAsia"/>
                <w:szCs w:val="21"/>
              </w:rPr>
              <w:t>工程现场实际的构造做法、使用的材料应当与幕墙设计图一致，按图施工；</w:t>
            </w:r>
          </w:p>
          <w:p w14:paraId="17CA3125">
            <w:pPr>
              <w:snapToGrid w:val="0"/>
              <w:spacing w:line="276" w:lineRule="auto"/>
              <w:rPr>
                <w:szCs w:val="21"/>
              </w:rPr>
            </w:pPr>
            <w:r>
              <w:rPr>
                <w:rFonts w:hint="eastAsia"/>
                <w:bCs/>
                <w:szCs w:val="21"/>
              </w:rPr>
              <w:t>3</w:t>
            </w:r>
            <w:r>
              <w:rPr>
                <w:bCs/>
                <w:szCs w:val="21"/>
              </w:rPr>
              <w:t>.</w:t>
            </w:r>
            <w:r>
              <w:rPr>
                <w:rFonts w:hint="eastAsia"/>
                <w:bCs/>
                <w:szCs w:val="21"/>
              </w:rPr>
              <w:t>幕墙的外观质量应符合要求。面材平整干净无污染、无破损、无漏水、无褪色。胶缝、装饰线条横平竖直，弧线造型顺滑，五金附件无锈蚀，收边收口密封严密；</w:t>
            </w:r>
          </w:p>
          <w:p w14:paraId="35301B2F">
            <w:pPr>
              <w:snapToGrid w:val="0"/>
              <w:spacing w:line="276" w:lineRule="auto"/>
              <w:rPr>
                <w:szCs w:val="21"/>
              </w:rPr>
            </w:pPr>
            <w:r>
              <w:rPr>
                <w:rFonts w:hint="eastAsia"/>
                <w:bCs/>
                <w:szCs w:val="21"/>
              </w:rPr>
              <w:t>4</w:t>
            </w:r>
            <w:r>
              <w:rPr>
                <w:bCs/>
                <w:szCs w:val="21"/>
              </w:rPr>
              <w:t>.</w:t>
            </w:r>
            <w:r>
              <w:rPr>
                <w:rFonts w:hint="eastAsia"/>
                <w:bCs/>
                <w:szCs w:val="21"/>
              </w:rPr>
              <w:t>玻璃反射影像应当无畸形或畸形较小，玻璃内衬板平整；</w:t>
            </w:r>
          </w:p>
          <w:p w14:paraId="4631FC77">
            <w:pPr>
              <w:snapToGrid w:val="0"/>
              <w:spacing w:line="276" w:lineRule="auto"/>
              <w:rPr>
                <w:szCs w:val="21"/>
              </w:rPr>
            </w:pPr>
            <w:r>
              <w:rPr>
                <w:rFonts w:hint="eastAsia"/>
                <w:szCs w:val="21"/>
              </w:rPr>
              <w:t>5</w:t>
            </w:r>
            <w:r>
              <w:rPr>
                <w:szCs w:val="21"/>
              </w:rPr>
              <w:t>.</w:t>
            </w:r>
            <w:r>
              <w:rPr>
                <w:rFonts w:hint="eastAsia"/>
                <w:szCs w:val="21"/>
              </w:rPr>
              <w:t>连接件、驳接爪等钢件无严重锈蚀；密封胶保持良好弹性，无硬化；</w:t>
            </w:r>
          </w:p>
          <w:p w14:paraId="7D9CA164">
            <w:pPr>
              <w:snapToGrid w:val="0"/>
              <w:spacing w:line="276" w:lineRule="auto"/>
              <w:rPr>
                <w:szCs w:val="21"/>
              </w:rPr>
            </w:pPr>
            <w:r>
              <w:rPr>
                <w:rFonts w:hint="eastAsia"/>
                <w:szCs w:val="21"/>
              </w:rPr>
              <w:t>6</w:t>
            </w:r>
            <w:r>
              <w:rPr>
                <w:szCs w:val="21"/>
              </w:rPr>
              <w:t>.</w:t>
            </w:r>
            <w:r>
              <w:rPr>
                <w:rFonts w:hint="eastAsia"/>
                <w:szCs w:val="21"/>
              </w:rPr>
              <w:t>开启门窗密封性好、开启灵活，设置开启限位装置，高层外开窗安装防脱落装置；</w:t>
            </w:r>
          </w:p>
          <w:p w14:paraId="1F798F0E">
            <w:pPr>
              <w:snapToGrid w:val="0"/>
              <w:spacing w:line="276" w:lineRule="auto"/>
              <w:rPr>
                <w:szCs w:val="21"/>
              </w:rPr>
            </w:pPr>
            <w:r>
              <w:rPr>
                <w:rFonts w:hint="eastAsia"/>
                <w:szCs w:val="21"/>
              </w:rPr>
              <w:t>7</w:t>
            </w:r>
            <w:r>
              <w:rPr>
                <w:szCs w:val="21"/>
              </w:rPr>
              <w:t>.</w:t>
            </w:r>
            <w:r>
              <w:rPr>
                <w:rFonts w:hint="eastAsia"/>
                <w:szCs w:val="21"/>
              </w:rPr>
              <w:t>隐框、半隐框玻璃板块及翻窗开启扇玻璃底部应安装玻璃托条；</w:t>
            </w:r>
          </w:p>
          <w:p w14:paraId="6867E21D">
            <w:pPr>
              <w:snapToGrid w:val="0"/>
              <w:spacing w:line="276" w:lineRule="auto"/>
              <w:rPr>
                <w:szCs w:val="21"/>
              </w:rPr>
            </w:pPr>
            <w:r>
              <w:rPr>
                <w:rFonts w:hint="eastAsia"/>
                <w:szCs w:val="21"/>
              </w:rPr>
              <w:t>8</w:t>
            </w:r>
            <w:r>
              <w:rPr>
                <w:szCs w:val="21"/>
              </w:rPr>
              <w:t>.</w:t>
            </w:r>
            <w:r>
              <w:rPr>
                <w:rFonts w:hint="eastAsia"/>
                <w:szCs w:val="21"/>
              </w:rPr>
              <w:t>石材幕墙面板色差小或无色差，幕墙胶缝无严重污染；</w:t>
            </w:r>
          </w:p>
          <w:p w14:paraId="30B38FD7">
            <w:pPr>
              <w:snapToGrid w:val="0"/>
              <w:spacing w:line="276" w:lineRule="auto"/>
              <w:rPr>
                <w:szCs w:val="21"/>
              </w:rPr>
            </w:pPr>
            <w:r>
              <w:rPr>
                <w:rFonts w:hint="eastAsia"/>
                <w:szCs w:val="21"/>
              </w:rPr>
              <w:t>9</w:t>
            </w:r>
            <w:r>
              <w:rPr>
                <w:szCs w:val="21"/>
              </w:rPr>
              <w:t>.</w:t>
            </w:r>
            <w:r>
              <w:rPr>
                <w:rFonts w:hint="eastAsia"/>
                <w:szCs w:val="21"/>
              </w:rPr>
              <w:t>防火封修做法规范，符合设计要求，缝隙用防火密封胶密封；</w:t>
            </w:r>
          </w:p>
          <w:p w14:paraId="4593F850">
            <w:pPr>
              <w:snapToGrid w:val="0"/>
              <w:spacing w:line="240" w:lineRule="atLeast"/>
              <w:rPr>
                <w:szCs w:val="21"/>
              </w:rPr>
            </w:pPr>
            <w:r>
              <w:rPr>
                <w:rFonts w:hint="eastAsia"/>
                <w:szCs w:val="21"/>
              </w:rPr>
              <w:t>1</w:t>
            </w:r>
            <w:r>
              <w:rPr>
                <w:szCs w:val="21"/>
              </w:rPr>
              <w:t>0.</w:t>
            </w:r>
            <w:r>
              <w:rPr>
                <w:rFonts w:hint="eastAsia"/>
                <w:szCs w:val="21"/>
              </w:rPr>
              <w:t>屋面女儿墙避雷导线安装规范且符合设计要求；</w:t>
            </w:r>
          </w:p>
          <w:p w14:paraId="6DD07980">
            <w:pPr>
              <w:snapToGrid w:val="0"/>
              <w:spacing w:line="276" w:lineRule="auto"/>
              <w:rPr>
                <w:szCs w:val="21"/>
              </w:rPr>
            </w:pPr>
            <w:r>
              <w:rPr>
                <w:rFonts w:hint="eastAsia"/>
                <w:szCs w:val="21"/>
              </w:rPr>
              <w:t>1</w:t>
            </w:r>
            <w:r>
              <w:rPr>
                <w:szCs w:val="21"/>
              </w:rPr>
              <w:t>1.</w:t>
            </w:r>
            <w:r>
              <w:rPr>
                <w:rFonts w:hint="eastAsia"/>
                <w:szCs w:val="21"/>
              </w:rPr>
              <w:t>工程无安全隐患；</w:t>
            </w:r>
          </w:p>
          <w:p w14:paraId="6E1610FF">
            <w:pPr>
              <w:spacing w:line="276" w:lineRule="auto"/>
              <w:rPr>
                <w:szCs w:val="21"/>
              </w:rPr>
            </w:pPr>
            <w:r>
              <w:rPr>
                <w:rFonts w:hint="eastAsia"/>
                <w:szCs w:val="21"/>
              </w:rPr>
              <w:t>1</w:t>
            </w:r>
            <w:r>
              <w:rPr>
                <w:szCs w:val="21"/>
              </w:rPr>
              <w:t>2.</w:t>
            </w:r>
            <w:r>
              <w:rPr>
                <w:rFonts w:hint="eastAsia"/>
                <w:szCs w:val="21"/>
              </w:rPr>
              <w:t>构造上应安全可靠，应符合《关于淘汰建筑幕墙落后产品和技术的指导意见》（中装协[2016]89号）文件的要求；</w:t>
            </w:r>
          </w:p>
          <w:p w14:paraId="574B8AD5">
            <w:pPr>
              <w:spacing w:line="276" w:lineRule="auto"/>
              <w:rPr>
                <w:szCs w:val="21"/>
              </w:rPr>
            </w:pPr>
            <w:r>
              <w:rPr>
                <w:rFonts w:hint="eastAsia"/>
                <w:szCs w:val="21"/>
              </w:rPr>
              <w:t>1</w:t>
            </w:r>
            <w:r>
              <w:rPr>
                <w:szCs w:val="21"/>
              </w:rPr>
              <w:t>3.</w:t>
            </w:r>
            <w:r>
              <w:rPr>
                <w:rFonts w:hint="eastAsia"/>
                <w:szCs w:val="21"/>
              </w:rPr>
              <w:t>应符合《关于进一步加强玻璃幕墙安全防护工作的通知》（建标[2015]38号）文件的要求；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ECB8371">
            <w:pPr>
              <w:snapToGrid w:val="0"/>
              <w:spacing w:line="276" w:lineRule="auto"/>
              <w:rPr>
                <w:szCs w:val="21"/>
              </w:rPr>
            </w:pPr>
            <w:r>
              <w:rPr>
                <w:rFonts w:hint="eastAsia" w:ascii="Calibri" w:hAnsi="Calibri"/>
                <w:szCs w:val="21"/>
              </w:rPr>
              <w:t>1.</w:t>
            </w:r>
            <w:r>
              <w:rPr>
                <w:rFonts w:hint="eastAsia"/>
                <w:szCs w:val="21"/>
              </w:rPr>
              <w:t>未按住建部建标[2015]38号文件或中装协[2016]89号文件要求设计、施工的（</w:t>
            </w:r>
            <w:r>
              <w:rPr>
                <w:szCs w:val="21"/>
              </w:rPr>
              <w:t>扣</w:t>
            </w:r>
            <w:r>
              <w:rPr>
                <w:rFonts w:hint="eastAsia"/>
                <w:szCs w:val="21"/>
              </w:rPr>
              <w:t>10-20分）；</w:t>
            </w:r>
          </w:p>
          <w:p w14:paraId="53F2B99C">
            <w:pPr>
              <w:snapToGrid w:val="0"/>
              <w:spacing w:line="276" w:lineRule="auto"/>
              <w:rPr>
                <w:szCs w:val="21"/>
              </w:rPr>
            </w:pPr>
            <w:r>
              <w:rPr>
                <w:rFonts w:hint="eastAsia"/>
                <w:szCs w:val="21"/>
              </w:rPr>
              <w:t>2.工程存在严重质量、安全隐患（每项扣10-20分）；</w:t>
            </w:r>
          </w:p>
          <w:p w14:paraId="463F5BDB">
            <w:pPr>
              <w:snapToGrid w:val="0"/>
              <w:spacing w:line="276" w:lineRule="auto"/>
              <w:rPr>
                <w:szCs w:val="21"/>
              </w:rPr>
            </w:pPr>
            <w:r>
              <w:rPr>
                <w:rFonts w:hint="eastAsia"/>
                <w:szCs w:val="21"/>
              </w:rPr>
              <w:t>3.设计的结构构造存在严重的安全隐患或严重的质量问题（扣10-20分）；</w:t>
            </w:r>
          </w:p>
          <w:p w14:paraId="30AEC3FE">
            <w:pPr>
              <w:snapToGrid w:val="0"/>
              <w:spacing w:line="276" w:lineRule="auto"/>
              <w:rPr>
                <w:szCs w:val="21"/>
              </w:rPr>
            </w:pPr>
            <w:r>
              <w:rPr>
                <w:rFonts w:hint="eastAsia"/>
                <w:szCs w:val="21"/>
              </w:rPr>
              <w:t>4.施工现场打结构胶（全玻璃幕墙除外）（每项扣1-3分）；</w:t>
            </w:r>
          </w:p>
          <w:p w14:paraId="1E5558DF">
            <w:pPr>
              <w:snapToGrid w:val="0"/>
              <w:spacing w:line="276" w:lineRule="auto"/>
              <w:rPr>
                <w:rFonts w:ascii="Calibri" w:hAnsi="Calibri"/>
                <w:szCs w:val="21"/>
              </w:rPr>
            </w:pPr>
            <w:r>
              <w:rPr>
                <w:rFonts w:hint="eastAsia"/>
                <w:szCs w:val="21"/>
              </w:rPr>
              <w:t>5.其它不符合要求或不合规情况（每项扣0.5-2分）。</w:t>
            </w:r>
          </w:p>
        </w:tc>
        <w:tc>
          <w:tcPr>
            <w:tcW w:w="1701" w:type="dxa"/>
            <w:tcBorders>
              <w:left w:val="single" w:color="auto" w:sz="4" w:space="0"/>
              <w:right w:val="single" w:color="auto" w:sz="4" w:space="0"/>
            </w:tcBorders>
            <w:noWrap w:val="0"/>
            <w:vAlign w:val="center"/>
          </w:tcPr>
          <w:p w14:paraId="68260E7F">
            <w:pPr>
              <w:snapToGrid w:val="0"/>
              <w:spacing w:line="288" w:lineRule="auto"/>
              <w:rPr>
                <w:szCs w:val="21"/>
              </w:rPr>
            </w:pPr>
            <w:r>
              <w:rPr>
                <w:rFonts w:hint="eastAsia"/>
                <w:szCs w:val="21"/>
              </w:rPr>
              <w:t>工程实体外观质量及整体效果；</w:t>
            </w:r>
          </w:p>
          <w:p w14:paraId="265BDADB">
            <w:pPr>
              <w:snapToGrid w:val="0"/>
              <w:spacing w:line="288" w:lineRule="auto"/>
              <w:rPr>
                <w:szCs w:val="21"/>
              </w:rPr>
            </w:pPr>
          </w:p>
          <w:p w14:paraId="6565E01F">
            <w:pPr>
              <w:snapToGrid w:val="0"/>
              <w:spacing w:line="288" w:lineRule="auto"/>
              <w:rPr>
                <w:szCs w:val="21"/>
              </w:rPr>
            </w:pPr>
            <w:r>
              <w:rPr>
                <w:rFonts w:hint="eastAsia"/>
                <w:szCs w:val="21"/>
              </w:rPr>
              <w:t>做工精细程度及材料质量；</w:t>
            </w:r>
          </w:p>
          <w:p w14:paraId="0AFDEEC3">
            <w:pPr>
              <w:snapToGrid w:val="0"/>
              <w:spacing w:line="288" w:lineRule="auto"/>
              <w:rPr>
                <w:szCs w:val="21"/>
              </w:rPr>
            </w:pPr>
          </w:p>
          <w:p w14:paraId="4F1FD975">
            <w:pPr>
              <w:snapToGrid w:val="0"/>
              <w:spacing w:line="288" w:lineRule="auto"/>
              <w:rPr>
                <w:szCs w:val="21"/>
              </w:rPr>
            </w:pPr>
            <w:r>
              <w:rPr>
                <w:rFonts w:hint="eastAsia"/>
                <w:szCs w:val="21"/>
              </w:rPr>
              <w:t>严寒、台风等特殊气候地区的应对措施</w:t>
            </w:r>
          </w:p>
          <w:p w14:paraId="750D0F6B">
            <w:pPr>
              <w:snapToGrid w:val="0"/>
              <w:spacing w:line="288" w:lineRule="auto"/>
              <w:rPr>
                <w:szCs w:val="21"/>
              </w:rPr>
            </w:pPr>
          </w:p>
          <w:p w14:paraId="03661025">
            <w:pPr>
              <w:snapToGrid w:val="0"/>
              <w:spacing w:line="288" w:lineRule="auto"/>
              <w:rPr>
                <w:szCs w:val="21"/>
              </w:rPr>
            </w:pPr>
            <w:r>
              <w:rPr>
                <w:rFonts w:hint="eastAsia"/>
                <w:szCs w:val="21"/>
              </w:rPr>
              <w:t>工程实体与设计图、竣工图、质量管理资料的符合性；</w:t>
            </w:r>
          </w:p>
        </w:tc>
        <w:tc>
          <w:tcPr>
            <w:tcW w:w="851" w:type="dxa"/>
            <w:tcBorders>
              <w:left w:val="single" w:color="auto" w:sz="4" w:space="0"/>
              <w:right w:val="single" w:color="auto" w:sz="4" w:space="0"/>
            </w:tcBorders>
            <w:noWrap w:val="0"/>
            <w:vAlign w:val="center"/>
          </w:tcPr>
          <w:p w14:paraId="5AB041FB">
            <w:pPr>
              <w:snapToGrid w:val="0"/>
              <w:spacing w:line="288" w:lineRule="auto"/>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0C8C02">
            <w:pPr>
              <w:snapToGrid w:val="0"/>
              <w:spacing w:line="288" w:lineRule="auto"/>
              <w:rPr>
                <w:szCs w:val="21"/>
              </w:rPr>
            </w:pPr>
            <w:r>
              <w:rPr>
                <w:rFonts w:hint="eastAsia"/>
                <w:szCs w:val="21"/>
              </w:rPr>
              <w:t>结合图纸、质量管理资料等查工程实体</w:t>
            </w:r>
          </w:p>
        </w:tc>
      </w:tr>
      <w:tr w14:paraId="1FE1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567" w:type="dxa"/>
            <w:tcBorders>
              <w:left w:val="single" w:color="auto" w:sz="4" w:space="0"/>
              <w:bottom w:val="single" w:color="auto" w:sz="4" w:space="0"/>
              <w:right w:val="single" w:color="auto" w:sz="4" w:space="0"/>
            </w:tcBorders>
            <w:noWrap w:val="0"/>
            <w:vAlign w:val="center"/>
          </w:tcPr>
          <w:p w14:paraId="7CBE47DA">
            <w:pPr>
              <w:snapToGrid w:val="0"/>
              <w:spacing w:line="360" w:lineRule="auto"/>
              <w:jc w:val="center"/>
              <w:rPr>
                <w:rFonts w:ascii="宋体" w:hAnsi="宋体"/>
                <w:szCs w:val="21"/>
              </w:rPr>
            </w:pPr>
            <w:r>
              <w:rPr>
                <w:rFonts w:hint="eastAsia" w:ascii="宋体" w:hAnsi="宋体"/>
                <w:szCs w:val="21"/>
              </w:rPr>
              <w:t>6</w:t>
            </w:r>
          </w:p>
        </w:tc>
        <w:tc>
          <w:tcPr>
            <w:tcW w:w="1277" w:type="dxa"/>
            <w:tcBorders>
              <w:left w:val="single" w:color="auto" w:sz="4" w:space="0"/>
              <w:right w:val="single" w:color="auto" w:sz="4" w:space="0"/>
            </w:tcBorders>
            <w:noWrap w:val="0"/>
            <w:vAlign w:val="center"/>
          </w:tcPr>
          <w:p w14:paraId="5EF524BD">
            <w:pPr>
              <w:snapToGrid w:val="0"/>
              <w:spacing w:line="360" w:lineRule="auto"/>
              <w:jc w:val="center"/>
              <w:rPr>
                <w:rFonts w:ascii="宋体" w:hAnsi="宋体"/>
                <w:szCs w:val="21"/>
              </w:rPr>
            </w:pPr>
            <w:r>
              <w:rPr>
                <w:rFonts w:ascii="宋体" w:hAnsi="宋体"/>
                <w:szCs w:val="21"/>
              </w:rPr>
              <w:t>新技术</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1EA3BC0">
            <w:pPr>
              <w:snapToGrid w:val="0"/>
              <w:spacing w:line="360" w:lineRule="auto"/>
              <w:rPr>
                <w:szCs w:val="21"/>
              </w:rPr>
            </w:pPr>
            <w:r>
              <w:rPr>
                <w:rFonts w:hint="eastAsia" w:ascii="Calibri" w:hAnsi="Calibri"/>
                <w:szCs w:val="21"/>
              </w:rPr>
              <w:t>1</w:t>
            </w:r>
            <w:r>
              <w:rPr>
                <w:rFonts w:ascii="Calibri" w:hAnsi="Calibri"/>
                <w:szCs w:val="21"/>
              </w:rPr>
              <w:t>.</w:t>
            </w:r>
            <w:r>
              <w:rPr>
                <w:rFonts w:hint="eastAsia" w:ascii="Calibri" w:hAnsi="Calibri"/>
                <w:szCs w:val="21"/>
              </w:rPr>
              <w:t>创新技术、工艺、工法等；</w:t>
            </w:r>
          </w:p>
          <w:p w14:paraId="5792D159">
            <w:pPr>
              <w:snapToGrid w:val="0"/>
              <w:spacing w:line="360" w:lineRule="auto"/>
              <w:rPr>
                <w:szCs w:val="21"/>
              </w:rPr>
            </w:pPr>
            <w:r>
              <w:rPr>
                <w:rFonts w:hint="eastAsia"/>
                <w:szCs w:val="21"/>
              </w:rPr>
              <w:t>2</w:t>
            </w:r>
            <w:r>
              <w:rPr>
                <w:szCs w:val="21"/>
              </w:rPr>
              <w:t>.</w:t>
            </w:r>
            <w:r>
              <w:rPr>
                <w:rFonts w:hint="eastAsia"/>
                <w:szCs w:val="21"/>
              </w:rPr>
              <w:t>采用了新材料、新工艺、新技术或有利于环保节能等的材料、技术、措施、工艺、工法等；</w:t>
            </w:r>
          </w:p>
          <w:p w14:paraId="3EFEAB77">
            <w:pPr>
              <w:snapToGrid w:val="0"/>
              <w:spacing w:line="360" w:lineRule="auto"/>
              <w:rPr>
                <w:szCs w:val="21"/>
              </w:rPr>
            </w:pPr>
            <w:r>
              <w:rPr>
                <w:rFonts w:hint="eastAsia"/>
                <w:szCs w:val="21"/>
              </w:rPr>
              <w:t>3</w:t>
            </w:r>
            <w:r>
              <w:rPr>
                <w:szCs w:val="21"/>
              </w:rPr>
              <w:t>.</w:t>
            </w:r>
            <w:r>
              <w:rPr>
                <w:rFonts w:hint="eastAsia"/>
                <w:szCs w:val="21"/>
              </w:rPr>
              <w:t>获得了与申报工程相关的发明专利、实用新型专利、省级或以上工艺工法等；</w:t>
            </w:r>
          </w:p>
          <w:p w14:paraId="4984C71A">
            <w:pPr>
              <w:snapToGrid w:val="0"/>
              <w:spacing w:line="360" w:lineRule="auto"/>
              <w:rPr>
                <w:szCs w:val="21"/>
              </w:rPr>
            </w:pPr>
            <w:r>
              <w:rPr>
                <w:rFonts w:hint="eastAsia"/>
                <w:szCs w:val="21"/>
              </w:rPr>
              <w:t>4</w:t>
            </w:r>
            <w:r>
              <w:rPr>
                <w:szCs w:val="21"/>
              </w:rPr>
              <w:t>.</w:t>
            </w:r>
            <w:r>
              <w:rPr>
                <w:rFonts w:hint="eastAsia"/>
                <w:szCs w:val="21"/>
              </w:rPr>
              <w:t>本工程已获得中装协建筑装饰行业科学技术奖；</w:t>
            </w:r>
          </w:p>
          <w:p w14:paraId="1669F2AB">
            <w:pPr>
              <w:snapToGrid w:val="0"/>
              <w:spacing w:line="360" w:lineRule="auto"/>
              <w:rPr>
                <w:szCs w:val="21"/>
              </w:rPr>
            </w:pPr>
            <w:r>
              <w:rPr>
                <w:rFonts w:hint="eastAsia"/>
                <w:szCs w:val="21"/>
              </w:rPr>
              <w:t>5</w:t>
            </w:r>
            <w:r>
              <w:rPr>
                <w:szCs w:val="21"/>
              </w:rPr>
              <w:t>.</w:t>
            </w:r>
            <w:r>
              <w:rPr>
                <w:rFonts w:hint="eastAsia"/>
                <w:szCs w:val="21"/>
              </w:rPr>
              <w:t>装配式技术应用情况。</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03C6DD0">
            <w:pPr>
              <w:snapToGrid w:val="0"/>
              <w:spacing w:line="360" w:lineRule="auto"/>
              <w:rPr>
                <w:rFonts w:ascii="宋体" w:hAnsi="宋体"/>
                <w:szCs w:val="21"/>
              </w:rPr>
            </w:pPr>
            <w:r>
              <w:rPr>
                <w:rFonts w:hint="eastAsia" w:ascii="宋体" w:hAnsi="宋体"/>
                <w:szCs w:val="21"/>
              </w:rPr>
              <w:t>缺少其中内容，扣0.5-3分。</w:t>
            </w:r>
          </w:p>
        </w:tc>
        <w:tc>
          <w:tcPr>
            <w:tcW w:w="1701" w:type="dxa"/>
            <w:tcBorders>
              <w:left w:val="single" w:color="auto" w:sz="4" w:space="0"/>
              <w:right w:val="single" w:color="auto" w:sz="4" w:space="0"/>
            </w:tcBorders>
            <w:noWrap w:val="0"/>
            <w:vAlign w:val="center"/>
          </w:tcPr>
          <w:p w14:paraId="09EB4A14">
            <w:pPr>
              <w:snapToGrid w:val="0"/>
              <w:spacing w:line="360" w:lineRule="auto"/>
              <w:jc w:val="center"/>
              <w:rPr>
                <w:rFonts w:ascii="宋体" w:hAnsi="宋体"/>
                <w:szCs w:val="21"/>
              </w:rPr>
            </w:pPr>
          </w:p>
        </w:tc>
        <w:tc>
          <w:tcPr>
            <w:tcW w:w="851" w:type="dxa"/>
            <w:tcBorders>
              <w:left w:val="single" w:color="auto" w:sz="4" w:space="0"/>
              <w:right w:val="single" w:color="auto" w:sz="4" w:space="0"/>
            </w:tcBorders>
            <w:noWrap w:val="0"/>
            <w:vAlign w:val="center"/>
          </w:tcPr>
          <w:p w14:paraId="71062985">
            <w:pPr>
              <w:snapToGrid w:val="0"/>
              <w:spacing w:line="360" w:lineRule="auto"/>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4BC3B3">
            <w:pPr>
              <w:snapToGrid w:val="0"/>
              <w:spacing w:line="360" w:lineRule="auto"/>
              <w:rPr>
                <w:rFonts w:ascii="宋体" w:hAnsi="宋体"/>
                <w:szCs w:val="21"/>
              </w:rPr>
            </w:pPr>
            <w:r>
              <w:rPr>
                <w:rFonts w:hint="eastAsia" w:ascii="宋体" w:hAnsi="宋体"/>
                <w:szCs w:val="21"/>
              </w:rPr>
              <w:t>查：工程实体、图纸、质量管理与技术资料等。</w:t>
            </w:r>
          </w:p>
        </w:tc>
      </w:tr>
      <w:tr w14:paraId="150E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4" w:hRule="atLeast"/>
        </w:trPr>
        <w:tc>
          <w:tcPr>
            <w:tcW w:w="567" w:type="dxa"/>
            <w:tcBorders>
              <w:left w:val="single" w:color="auto" w:sz="4" w:space="0"/>
              <w:bottom w:val="single" w:color="auto" w:sz="4" w:space="0"/>
              <w:right w:val="single" w:color="auto" w:sz="4" w:space="0"/>
            </w:tcBorders>
            <w:noWrap w:val="0"/>
            <w:vAlign w:val="center"/>
          </w:tcPr>
          <w:p w14:paraId="7826B272">
            <w:pPr>
              <w:snapToGrid w:val="0"/>
              <w:spacing w:line="288" w:lineRule="auto"/>
              <w:jc w:val="center"/>
              <w:rPr>
                <w:rFonts w:ascii="宋体" w:hAnsi="宋体"/>
                <w:szCs w:val="21"/>
              </w:rPr>
            </w:pPr>
            <w:r>
              <w:rPr>
                <w:rFonts w:hint="eastAsia" w:ascii="宋体" w:hAnsi="宋体"/>
                <w:szCs w:val="21"/>
              </w:rPr>
              <w:t>7</w:t>
            </w:r>
          </w:p>
        </w:tc>
        <w:tc>
          <w:tcPr>
            <w:tcW w:w="1277" w:type="dxa"/>
            <w:tcBorders>
              <w:left w:val="single" w:color="auto" w:sz="4" w:space="0"/>
              <w:right w:val="single" w:color="auto" w:sz="4" w:space="0"/>
            </w:tcBorders>
            <w:noWrap w:val="0"/>
            <w:vAlign w:val="center"/>
          </w:tcPr>
          <w:p w14:paraId="4D03E92B">
            <w:pPr>
              <w:snapToGrid w:val="0"/>
              <w:spacing w:line="240" w:lineRule="exact"/>
              <w:jc w:val="center"/>
              <w:rPr>
                <w:rFonts w:ascii="宋体" w:hAnsi="宋体"/>
                <w:szCs w:val="21"/>
              </w:rPr>
            </w:pPr>
            <w:r>
              <w:rPr>
                <w:rFonts w:ascii="宋体" w:hAnsi="宋体"/>
                <w:szCs w:val="21"/>
              </w:rPr>
              <w:t>总体印象</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52F8328A">
            <w:pPr>
              <w:snapToGrid w:val="0"/>
              <w:spacing w:line="360" w:lineRule="auto"/>
              <w:rPr>
                <w:szCs w:val="21"/>
              </w:rPr>
            </w:pPr>
            <w:r>
              <w:rPr>
                <w:rFonts w:hint="eastAsia"/>
                <w:szCs w:val="21"/>
              </w:rPr>
              <w:t>1</w:t>
            </w:r>
            <w:r>
              <w:rPr>
                <w:szCs w:val="21"/>
              </w:rPr>
              <w:t>.</w:t>
            </w:r>
            <w:r>
              <w:rPr>
                <w:rFonts w:hint="eastAsia"/>
                <w:szCs w:val="21"/>
              </w:rPr>
              <w:t>组织工作准备充分，人员到位（项目经理或执行经理、技术负责人和资料员等相关人员应到场），汇报PPT内容重点突出、清晰简洁；</w:t>
            </w:r>
          </w:p>
          <w:p w14:paraId="1B2914AE">
            <w:pPr>
              <w:snapToGrid w:val="0"/>
              <w:spacing w:line="360" w:lineRule="auto"/>
              <w:rPr>
                <w:szCs w:val="21"/>
              </w:rPr>
            </w:pPr>
            <w:r>
              <w:rPr>
                <w:rFonts w:hint="eastAsia"/>
                <w:szCs w:val="21"/>
              </w:rPr>
              <w:t>2</w:t>
            </w:r>
            <w:r>
              <w:rPr>
                <w:szCs w:val="21"/>
              </w:rPr>
              <w:t>.</w:t>
            </w:r>
            <w:r>
              <w:rPr>
                <w:rFonts w:hint="eastAsia"/>
                <w:szCs w:val="21"/>
              </w:rPr>
              <w:t>资料准备充分有序，易于查找；</w:t>
            </w:r>
          </w:p>
          <w:p w14:paraId="7C319791">
            <w:pPr>
              <w:snapToGrid w:val="0"/>
              <w:spacing w:line="360" w:lineRule="auto"/>
              <w:rPr>
                <w:szCs w:val="21"/>
              </w:rPr>
            </w:pPr>
            <w:r>
              <w:rPr>
                <w:rFonts w:hint="eastAsia"/>
                <w:szCs w:val="21"/>
              </w:rPr>
              <w:t>3</w:t>
            </w:r>
            <w:r>
              <w:rPr>
                <w:szCs w:val="21"/>
              </w:rPr>
              <w:t>.</w:t>
            </w:r>
            <w:r>
              <w:rPr>
                <w:rFonts w:hint="eastAsia"/>
                <w:szCs w:val="21"/>
              </w:rPr>
              <w:t>用户沟通意见；</w:t>
            </w:r>
          </w:p>
          <w:p w14:paraId="0E59E020">
            <w:pPr>
              <w:snapToGrid w:val="0"/>
              <w:spacing w:line="360" w:lineRule="auto"/>
              <w:rPr>
                <w:szCs w:val="21"/>
              </w:rPr>
            </w:pPr>
            <w:r>
              <w:rPr>
                <w:rFonts w:hint="eastAsia"/>
                <w:szCs w:val="21"/>
              </w:rPr>
              <w:t>4</w:t>
            </w:r>
            <w:r>
              <w:rPr>
                <w:szCs w:val="21"/>
              </w:rPr>
              <w:t>.</w:t>
            </w:r>
            <w:r>
              <w:rPr>
                <w:rFonts w:hint="eastAsia"/>
                <w:szCs w:val="21"/>
              </w:rPr>
              <w:t>工程实体检查顺畅不受阻。</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F33BF77">
            <w:pPr>
              <w:snapToGrid w:val="0"/>
              <w:spacing w:line="276" w:lineRule="auto"/>
              <w:rPr>
                <w:szCs w:val="21"/>
              </w:rPr>
            </w:pPr>
            <w:r>
              <w:rPr>
                <w:rFonts w:hint="eastAsia"/>
                <w:szCs w:val="21"/>
              </w:rPr>
              <w:t>1</w:t>
            </w:r>
            <w:r>
              <w:rPr>
                <w:szCs w:val="21"/>
              </w:rPr>
              <w:t>.</w:t>
            </w:r>
            <w:r>
              <w:rPr>
                <w:rFonts w:hint="eastAsia"/>
                <w:szCs w:val="21"/>
              </w:rPr>
              <w:t>工程施工主要负责人均未到场（扣1-2分）；</w:t>
            </w:r>
          </w:p>
          <w:p w14:paraId="0068CF95">
            <w:pPr>
              <w:snapToGrid w:val="0"/>
              <w:spacing w:line="276" w:lineRule="auto"/>
              <w:rPr>
                <w:szCs w:val="21"/>
              </w:rPr>
            </w:pPr>
            <w:r>
              <w:rPr>
                <w:rFonts w:hint="eastAsia"/>
                <w:szCs w:val="21"/>
              </w:rPr>
              <w:t>2</w:t>
            </w:r>
            <w:r>
              <w:rPr>
                <w:szCs w:val="21"/>
              </w:rPr>
              <w:t>.资料准备无序不齐全（扣</w:t>
            </w:r>
            <w:r>
              <w:rPr>
                <w:rFonts w:hint="eastAsia"/>
                <w:szCs w:val="21"/>
              </w:rPr>
              <w:t>1-2分</w:t>
            </w:r>
            <w:r>
              <w:rPr>
                <w:szCs w:val="21"/>
              </w:rPr>
              <w:t>）；</w:t>
            </w:r>
          </w:p>
          <w:p w14:paraId="7372370E">
            <w:pPr>
              <w:snapToGrid w:val="0"/>
              <w:spacing w:line="276" w:lineRule="auto"/>
              <w:rPr>
                <w:szCs w:val="21"/>
              </w:rPr>
            </w:pPr>
            <w:r>
              <w:rPr>
                <w:rFonts w:hint="eastAsia"/>
                <w:szCs w:val="21"/>
              </w:rPr>
              <w:t>3</w:t>
            </w:r>
            <w:r>
              <w:rPr>
                <w:szCs w:val="21"/>
              </w:rPr>
              <w:t>.</w:t>
            </w:r>
            <w:r>
              <w:rPr>
                <w:rFonts w:hint="eastAsia"/>
                <w:szCs w:val="21"/>
              </w:rPr>
              <w:t>总体印象不佳（扣1-5分）；</w:t>
            </w:r>
          </w:p>
          <w:p w14:paraId="5ED83EC6">
            <w:pPr>
              <w:snapToGrid w:val="0"/>
              <w:spacing w:line="276" w:lineRule="auto"/>
              <w:rPr>
                <w:szCs w:val="21"/>
              </w:rPr>
            </w:pPr>
            <w:r>
              <w:rPr>
                <w:rFonts w:hint="eastAsia"/>
                <w:szCs w:val="21"/>
              </w:rPr>
              <w:t>4</w:t>
            </w:r>
            <w:r>
              <w:rPr>
                <w:szCs w:val="21"/>
              </w:rPr>
              <w:t>.</w:t>
            </w:r>
            <w:r>
              <w:rPr>
                <w:rFonts w:hint="eastAsia"/>
                <w:szCs w:val="21"/>
              </w:rPr>
              <w:t>其它不规范、不到位情况（每项扣0.5-1分）。</w:t>
            </w:r>
          </w:p>
        </w:tc>
        <w:tc>
          <w:tcPr>
            <w:tcW w:w="1701" w:type="dxa"/>
            <w:tcBorders>
              <w:left w:val="single" w:color="auto" w:sz="4" w:space="0"/>
              <w:right w:val="single" w:color="auto" w:sz="4" w:space="0"/>
            </w:tcBorders>
            <w:noWrap w:val="0"/>
            <w:vAlign w:val="center"/>
          </w:tcPr>
          <w:p w14:paraId="255FF032">
            <w:pPr>
              <w:snapToGrid w:val="0"/>
              <w:spacing w:line="288" w:lineRule="auto"/>
              <w:jc w:val="left"/>
              <w:rPr>
                <w:rFonts w:ascii="宋体" w:hAnsi="宋体"/>
                <w:szCs w:val="21"/>
              </w:rPr>
            </w:pPr>
            <w:r>
              <w:rPr>
                <w:rFonts w:hint="eastAsia" w:ascii="宋体" w:hAnsi="宋体"/>
                <w:szCs w:val="21"/>
              </w:rPr>
              <w:t>人员、资料、过程安排准备不足；未做PPT汇报资料等</w:t>
            </w:r>
          </w:p>
        </w:tc>
        <w:tc>
          <w:tcPr>
            <w:tcW w:w="851" w:type="dxa"/>
            <w:tcBorders>
              <w:left w:val="single" w:color="auto" w:sz="4" w:space="0"/>
              <w:right w:val="single" w:color="auto" w:sz="4" w:space="0"/>
            </w:tcBorders>
            <w:noWrap w:val="0"/>
            <w:vAlign w:val="center"/>
          </w:tcPr>
          <w:p w14:paraId="6B02ED45">
            <w:pPr>
              <w:snapToGrid w:val="0"/>
              <w:spacing w:line="288" w:lineRule="auto"/>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59D5A3">
            <w:pPr>
              <w:snapToGrid w:val="0"/>
              <w:spacing w:line="288" w:lineRule="auto"/>
              <w:rPr>
                <w:szCs w:val="21"/>
              </w:rPr>
            </w:pPr>
            <w:r>
              <w:rPr>
                <w:rFonts w:hint="eastAsia"/>
                <w:szCs w:val="21"/>
              </w:rPr>
              <w:t>查：</w:t>
            </w:r>
          </w:p>
          <w:p w14:paraId="4C99ACF3">
            <w:pPr>
              <w:numPr>
                <w:ilvl w:val="0"/>
                <w:numId w:val="1"/>
              </w:numPr>
              <w:snapToGrid w:val="0"/>
              <w:spacing w:line="288" w:lineRule="auto"/>
              <w:ind w:left="16" w:hanging="16"/>
              <w:rPr>
                <w:szCs w:val="21"/>
              </w:rPr>
            </w:pPr>
            <w:r>
              <w:rPr>
                <w:rFonts w:hint="eastAsia"/>
                <w:szCs w:val="21"/>
              </w:rPr>
              <w:t>组织准备情况；</w:t>
            </w:r>
          </w:p>
          <w:p w14:paraId="71F8B1AD">
            <w:pPr>
              <w:numPr>
                <w:ilvl w:val="0"/>
                <w:numId w:val="1"/>
              </w:numPr>
              <w:snapToGrid w:val="0"/>
              <w:spacing w:line="288" w:lineRule="auto"/>
              <w:ind w:left="16" w:hanging="16"/>
              <w:rPr>
                <w:szCs w:val="21"/>
              </w:rPr>
            </w:pPr>
            <w:r>
              <w:rPr>
                <w:rFonts w:hint="eastAsia"/>
                <w:szCs w:val="21"/>
              </w:rPr>
              <w:t>PPT（项目概况、施工范围、重点难点亮点、施工过程中情况图片等，汇报时间10分钟内）；</w:t>
            </w:r>
          </w:p>
          <w:p w14:paraId="7A78A5C5">
            <w:pPr>
              <w:numPr>
                <w:ilvl w:val="0"/>
                <w:numId w:val="1"/>
              </w:numPr>
              <w:snapToGrid w:val="0"/>
              <w:spacing w:line="288" w:lineRule="auto"/>
              <w:ind w:left="16" w:hanging="16"/>
              <w:rPr>
                <w:szCs w:val="21"/>
              </w:rPr>
            </w:pPr>
            <w:r>
              <w:rPr>
                <w:rFonts w:hint="eastAsia"/>
                <w:szCs w:val="21"/>
              </w:rPr>
              <w:t>用户意见。</w:t>
            </w:r>
          </w:p>
        </w:tc>
      </w:tr>
    </w:tbl>
    <w:p w14:paraId="33299264">
      <w:pPr>
        <w:sectPr>
          <w:pgSz w:w="16838" w:h="11906" w:orient="landscape"/>
          <w:pgMar w:top="1247" w:right="1440" w:bottom="1587" w:left="1440" w:header="851" w:footer="992" w:gutter="0"/>
          <w:pgNumType w:fmt="numberInDash"/>
          <w:cols w:space="720" w:num="1"/>
          <w:docGrid w:type="lines" w:linePitch="312" w:charSpace="0"/>
        </w:sectPr>
      </w:pPr>
    </w:p>
    <w:p w14:paraId="11E7D24C">
      <w:pPr>
        <w:jc w:val="center"/>
        <w:rPr>
          <w:rFonts w:ascii="宋体" w:hAnsi="宋体"/>
          <w:bCs/>
          <w:sz w:val="30"/>
          <w:szCs w:val="30"/>
        </w:rPr>
      </w:pPr>
      <w:r>
        <w:rPr>
          <w:rFonts w:hint="eastAsia" w:ascii="黑体" w:hAnsi="黑体" w:eastAsia="黑体"/>
          <w:sz w:val="30"/>
          <w:szCs w:val="30"/>
        </w:rPr>
        <w:t>五、工程复查实施细则</w:t>
      </w:r>
      <w:r>
        <w:rPr>
          <w:rFonts w:hint="eastAsia" w:ascii="宋体" w:hAnsi="宋体"/>
          <w:bCs/>
          <w:sz w:val="30"/>
          <w:szCs w:val="30"/>
        </w:rPr>
        <w:t>——建筑幕墙类（</w:t>
      </w:r>
      <w:r>
        <w:rPr>
          <w:rFonts w:hint="eastAsia" w:ascii="宋体" w:hAnsi="宋体"/>
          <w:bCs/>
          <w:sz w:val="24"/>
        </w:rPr>
        <w:t>采光顶与金属屋面工程</w:t>
      </w:r>
      <w:r>
        <w:rPr>
          <w:rFonts w:hint="eastAsia" w:ascii="宋体" w:hAnsi="宋体"/>
          <w:bCs/>
          <w:sz w:val="30"/>
          <w:szCs w:val="30"/>
        </w:rPr>
        <w:t>）</w:t>
      </w:r>
    </w:p>
    <w:tbl>
      <w:tblPr>
        <w:tblStyle w:val="2"/>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5103"/>
        <w:gridCol w:w="2410"/>
        <w:gridCol w:w="1701"/>
        <w:gridCol w:w="709"/>
        <w:gridCol w:w="2268"/>
      </w:tblGrid>
      <w:tr w14:paraId="720B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9" w:hRule="atLeast"/>
        </w:trPr>
        <w:tc>
          <w:tcPr>
            <w:tcW w:w="567" w:type="dxa"/>
            <w:vMerge w:val="restart"/>
            <w:tcBorders>
              <w:top w:val="single" w:color="auto" w:sz="4" w:space="0"/>
              <w:left w:val="single" w:color="auto" w:sz="4" w:space="0"/>
              <w:right w:val="single" w:color="auto" w:sz="4" w:space="0"/>
            </w:tcBorders>
            <w:noWrap w:val="0"/>
            <w:vAlign w:val="center"/>
          </w:tcPr>
          <w:p w14:paraId="566ECC4B">
            <w:pPr>
              <w:jc w:val="center"/>
              <w:rPr>
                <w:rFonts w:ascii="宋体" w:hAnsi="宋体"/>
                <w:szCs w:val="21"/>
              </w:rPr>
            </w:pPr>
            <w:r>
              <w:rPr>
                <w:rFonts w:hint="eastAsia" w:ascii="宋体" w:hAnsi="宋体"/>
                <w:szCs w:val="21"/>
              </w:rPr>
              <w:t>1</w:t>
            </w:r>
          </w:p>
        </w:tc>
        <w:tc>
          <w:tcPr>
            <w:tcW w:w="1276" w:type="dxa"/>
            <w:vMerge w:val="restart"/>
            <w:tcBorders>
              <w:top w:val="single" w:color="auto" w:sz="4" w:space="0"/>
              <w:left w:val="single" w:color="auto" w:sz="4" w:space="0"/>
              <w:right w:val="single" w:color="auto" w:sz="4" w:space="0"/>
            </w:tcBorders>
            <w:noWrap w:val="0"/>
            <w:vAlign w:val="center"/>
          </w:tcPr>
          <w:p w14:paraId="6AADCE5C">
            <w:pPr>
              <w:jc w:val="center"/>
              <w:rPr>
                <w:rFonts w:ascii="宋体" w:hAnsi="宋体"/>
                <w:szCs w:val="21"/>
              </w:rPr>
            </w:pPr>
            <w:r>
              <w:rPr>
                <w:rFonts w:hint="eastAsia" w:ascii="宋体" w:hAnsi="宋体"/>
                <w:szCs w:val="21"/>
              </w:rPr>
              <w:t>资料</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157B8DFA">
            <w:pPr>
              <w:rPr>
                <w:rFonts w:ascii="黑体" w:hAnsi="黑体" w:eastAsia="黑体"/>
                <w:szCs w:val="21"/>
              </w:rPr>
            </w:pPr>
            <w:r>
              <w:rPr>
                <w:rFonts w:hint="eastAsia" w:ascii="黑体" w:hAnsi="黑体" w:eastAsia="黑体"/>
                <w:szCs w:val="21"/>
              </w:rPr>
              <w:t>必要文件：</w:t>
            </w:r>
          </w:p>
          <w:p w14:paraId="7BA7E415">
            <w:pPr>
              <w:rPr>
                <w:rFonts w:ascii="宋体" w:hAnsi="宋体"/>
                <w:szCs w:val="21"/>
              </w:rPr>
            </w:pPr>
            <w:r>
              <w:rPr>
                <w:rFonts w:hint="eastAsia" w:ascii="宋体" w:hAnsi="宋体"/>
                <w:szCs w:val="21"/>
              </w:rPr>
              <w:t>1.企业营业执照、资质等级证书、安全生产许可证（上一年度参评的单位可提供在有效期内的加盖本单位公章的复印件）；</w:t>
            </w:r>
          </w:p>
          <w:p w14:paraId="0CB55286">
            <w:pPr>
              <w:rPr>
                <w:rFonts w:ascii="宋体" w:hAnsi="宋体"/>
                <w:szCs w:val="21"/>
              </w:rPr>
            </w:pPr>
            <w:r>
              <w:rPr>
                <w:rFonts w:hint="eastAsia" w:ascii="宋体" w:hAnsi="宋体"/>
                <w:szCs w:val="21"/>
              </w:rPr>
              <w:t>2.项目经理注册建造师证及安全考核合格证书；</w:t>
            </w:r>
          </w:p>
          <w:p w14:paraId="2B7BB4D9">
            <w:pPr>
              <w:rPr>
                <w:rFonts w:ascii="宋体" w:hAnsi="宋体"/>
                <w:szCs w:val="21"/>
              </w:rPr>
            </w:pPr>
            <w:r>
              <w:rPr>
                <w:rFonts w:hint="eastAsia" w:ascii="宋体" w:hAnsi="宋体"/>
                <w:szCs w:val="21"/>
              </w:rPr>
              <w:t>3.工程施工合同（含施工范围、面积、金额）；</w:t>
            </w:r>
          </w:p>
          <w:p w14:paraId="1832E24E">
            <w:pPr>
              <w:rPr>
                <w:rFonts w:ascii="宋体" w:hAnsi="宋体"/>
                <w:szCs w:val="21"/>
              </w:rPr>
            </w:pPr>
            <w:r>
              <w:rPr>
                <w:rFonts w:hint="eastAsia" w:ascii="宋体" w:hAnsi="宋体"/>
                <w:szCs w:val="21"/>
              </w:rPr>
              <w:t>4.施工许可证（施工许可证不单独发给幕墙工程的，可以用总包单位的施工许可证）；</w:t>
            </w:r>
          </w:p>
          <w:p w14:paraId="545DC387">
            <w:pPr>
              <w:rPr>
                <w:rFonts w:ascii="宋体" w:hAnsi="宋体"/>
                <w:szCs w:val="21"/>
              </w:rPr>
            </w:pPr>
            <w:r>
              <w:rPr>
                <w:rFonts w:hint="eastAsia" w:ascii="宋体" w:hAnsi="宋体"/>
                <w:szCs w:val="21"/>
              </w:rPr>
              <w:t>5.采光顶或金属屋面单项竣工验收资料（单位签章必须齐全）</w:t>
            </w:r>
          </w:p>
          <w:p w14:paraId="7DAED677">
            <w:pPr>
              <w:rPr>
                <w:rFonts w:ascii="宋体" w:hAnsi="宋体"/>
                <w:szCs w:val="21"/>
              </w:rPr>
            </w:pPr>
            <w:r>
              <w:rPr>
                <w:rFonts w:hint="eastAsia" w:ascii="宋体" w:hAnsi="宋体"/>
                <w:szCs w:val="21"/>
              </w:rPr>
              <w:t>6.消防验收（工程名称、验收范围、主管部门公章、日期必须齐全；结论为合格；消防验收意见书中提出的整改意见如涉及幕墙部分应有有关部门的复查合格记录）；</w:t>
            </w:r>
          </w:p>
          <w:p w14:paraId="42C9260E">
            <w:pPr>
              <w:rPr>
                <w:rFonts w:ascii="宋体" w:hAnsi="宋体"/>
                <w:szCs w:val="21"/>
              </w:rPr>
            </w:pPr>
            <w:r>
              <w:rPr>
                <w:rFonts w:hint="eastAsia" w:ascii="宋体" w:hAnsi="宋体"/>
                <w:szCs w:val="21"/>
              </w:rPr>
              <w:t>7.工程验收合格备案证书。</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D02210">
            <w:pPr>
              <w:rPr>
                <w:rFonts w:hint="eastAsia" w:ascii="宋体" w:hAnsi="宋体"/>
                <w:szCs w:val="21"/>
              </w:rPr>
            </w:pPr>
            <w:r>
              <w:rPr>
                <w:rFonts w:hint="eastAsia" w:ascii="宋体" w:hAnsi="宋体"/>
                <w:szCs w:val="21"/>
              </w:rPr>
              <w:t>1.必要文件有一项不合格或不符合要求者不予评审。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AA09EE">
            <w:pPr>
              <w:snapToGrid w:val="0"/>
              <w:spacing w:line="288" w:lineRule="auto"/>
              <w:jc w:val="left"/>
              <w:rPr>
                <w:rFonts w:ascii="宋体" w:hAnsi="宋体"/>
                <w:szCs w:val="21"/>
              </w:rPr>
            </w:pPr>
            <w:r>
              <w:rPr>
                <w:rFonts w:hint="eastAsia" w:ascii="宋体" w:hAnsi="宋体"/>
                <w:szCs w:val="21"/>
              </w:rPr>
              <w:t>必要文件应为原件或可网查的电子文件打印件并加盖申报单位鲜章</w:t>
            </w:r>
          </w:p>
        </w:tc>
        <w:tc>
          <w:tcPr>
            <w:tcW w:w="709" w:type="dxa"/>
            <w:vMerge w:val="restart"/>
            <w:tcBorders>
              <w:top w:val="single" w:color="auto" w:sz="4" w:space="0"/>
              <w:left w:val="single" w:color="auto" w:sz="4" w:space="0"/>
              <w:right w:val="single" w:color="auto" w:sz="4" w:space="0"/>
            </w:tcBorders>
            <w:noWrap w:val="0"/>
            <w:vAlign w:val="center"/>
          </w:tcPr>
          <w:p w14:paraId="2DFD25EF">
            <w:pPr>
              <w:jc w:val="cente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4D5505">
            <w:pPr>
              <w:rPr>
                <w:rFonts w:ascii="宋体" w:hAnsi="宋体"/>
                <w:szCs w:val="21"/>
              </w:rPr>
            </w:pPr>
            <w:r>
              <w:rPr>
                <w:rFonts w:hint="eastAsia" w:ascii="宋体" w:hAnsi="宋体"/>
                <w:szCs w:val="21"/>
              </w:rPr>
              <w:t>查：相关文件资料原件；原件已存入城建档案馆或城建档案管理机构的可提供由档案馆或城建档案管理机构出具的加盖档案馆或城建档案管理机构鲜章并注明“原件存于X</w:t>
            </w:r>
            <w:r>
              <w:rPr>
                <w:rFonts w:ascii="宋体" w:hAnsi="宋体"/>
                <w:szCs w:val="21"/>
              </w:rPr>
              <w:t>XX</w:t>
            </w:r>
            <w:r>
              <w:rPr>
                <w:rFonts w:hint="eastAsia" w:ascii="宋体" w:hAnsi="宋体"/>
                <w:szCs w:val="21"/>
              </w:rPr>
              <w:t>，复印件与原件相同”字样的复印件。</w:t>
            </w:r>
          </w:p>
        </w:tc>
      </w:tr>
      <w:tr w14:paraId="3A8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2" w:hRule="atLeast"/>
        </w:trPr>
        <w:tc>
          <w:tcPr>
            <w:tcW w:w="567" w:type="dxa"/>
            <w:vMerge w:val="continue"/>
            <w:tcBorders>
              <w:left w:val="single" w:color="auto" w:sz="4" w:space="0"/>
              <w:bottom w:val="single" w:color="auto" w:sz="4" w:space="0"/>
              <w:right w:val="single" w:color="auto" w:sz="4" w:space="0"/>
            </w:tcBorders>
            <w:noWrap w:val="0"/>
            <w:vAlign w:val="center"/>
          </w:tcPr>
          <w:p w14:paraId="568DD773">
            <w:pPr>
              <w:jc w:val="center"/>
              <w:rPr>
                <w:rFonts w:ascii="宋体" w:hAnsi="宋体"/>
                <w:szCs w:val="21"/>
              </w:rPr>
            </w:pPr>
          </w:p>
        </w:tc>
        <w:tc>
          <w:tcPr>
            <w:tcW w:w="1276" w:type="dxa"/>
            <w:vMerge w:val="continue"/>
            <w:tcBorders>
              <w:left w:val="single" w:color="auto" w:sz="4" w:space="0"/>
              <w:bottom w:val="single" w:color="auto" w:sz="4" w:space="0"/>
              <w:right w:val="single" w:color="auto" w:sz="4" w:space="0"/>
            </w:tcBorders>
            <w:noWrap w:val="0"/>
            <w:vAlign w:val="center"/>
          </w:tcPr>
          <w:p w14:paraId="51FE64D5">
            <w:pPr>
              <w:jc w:val="center"/>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DCC1D89">
            <w:pPr>
              <w:rPr>
                <w:rFonts w:ascii="黑体" w:hAnsi="黑体" w:eastAsia="黑体"/>
                <w:szCs w:val="21"/>
              </w:rPr>
            </w:pPr>
            <w:r>
              <w:rPr>
                <w:rFonts w:hint="eastAsia" w:ascii="黑体" w:hAnsi="黑体" w:eastAsia="黑体"/>
                <w:szCs w:val="21"/>
              </w:rPr>
              <w:t>质量管理资料：</w:t>
            </w:r>
          </w:p>
          <w:p w14:paraId="3D1D8462">
            <w:pPr>
              <w:rPr>
                <w:rFonts w:ascii="宋体" w:hAnsi="宋体"/>
                <w:szCs w:val="21"/>
              </w:rPr>
            </w:pPr>
            <w:r>
              <w:rPr>
                <w:rFonts w:hint="eastAsia" w:ascii="宋体" w:hAnsi="宋体"/>
                <w:szCs w:val="21"/>
              </w:rPr>
              <w:t>1.采光顶或金属屋面使用的主要材料应符合标准、规范要求，符合设计要求。应有出厂合格证、厂家性能检测报告；</w:t>
            </w:r>
          </w:p>
          <w:p w14:paraId="3F7FD397">
            <w:pPr>
              <w:rPr>
                <w:rFonts w:ascii="宋体" w:hAnsi="宋体"/>
                <w:szCs w:val="21"/>
              </w:rPr>
            </w:pPr>
            <w:r>
              <w:rPr>
                <w:rFonts w:hint="eastAsia" w:ascii="宋体" w:hAnsi="宋体"/>
                <w:szCs w:val="21"/>
              </w:rPr>
              <w:t>2.主要材料使用前应进行复验，提供检测报告；</w:t>
            </w:r>
          </w:p>
          <w:p w14:paraId="1FF1B7CC">
            <w:pPr>
              <w:rPr>
                <w:rFonts w:ascii="宋体" w:hAnsi="宋体"/>
                <w:szCs w:val="21"/>
              </w:rPr>
            </w:pPr>
            <w:r>
              <w:rPr>
                <w:rFonts w:hint="eastAsia" w:ascii="宋体" w:hAnsi="宋体"/>
                <w:szCs w:val="21"/>
              </w:rPr>
              <w:t>3.物理性能检测报告；抗风掀试验报告；</w:t>
            </w:r>
          </w:p>
          <w:p w14:paraId="17F0B345">
            <w:pPr>
              <w:rPr>
                <w:rFonts w:ascii="宋体" w:hAnsi="宋体"/>
                <w:szCs w:val="21"/>
              </w:rPr>
            </w:pPr>
            <w:r>
              <w:rPr>
                <w:rFonts w:hint="eastAsia" w:ascii="宋体" w:hAnsi="宋体"/>
                <w:szCs w:val="21"/>
              </w:rPr>
              <w:t>4.提供：连接件、预埋件的焊缝质量检测报告，后置埋件现场拉拨力检测报告，索杆体系预拉力张拉记录；</w:t>
            </w:r>
          </w:p>
          <w:p w14:paraId="08D85B78">
            <w:pPr>
              <w:rPr>
                <w:rFonts w:ascii="宋体" w:hAnsi="宋体"/>
                <w:szCs w:val="21"/>
              </w:rPr>
            </w:pPr>
            <w:r>
              <w:rPr>
                <w:rFonts w:hint="eastAsia" w:ascii="宋体" w:hAnsi="宋体"/>
                <w:szCs w:val="21"/>
              </w:rPr>
              <w:t>5.有隐框、半隐框玻璃板块的，必须提供硅酮结构胶、耐候密封胶的相容性、粘结性试验报告，结构胶打胶记录、蝴蝶试验记录、养护记录。耐候密封胶与结构胶应采用同一品牌的配套产品；</w:t>
            </w:r>
          </w:p>
          <w:p w14:paraId="59D5BCA9">
            <w:pPr>
              <w:rPr>
                <w:rFonts w:ascii="宋体" w:hAnsi="宋体"/>
                <w:szCs w:val="21"/>
              </w:rPr>
            </w:pPr>
            <w:r>
              <w:rPr>
                <w:rFonts w:hint="eastAsia" w:ascii="宋体" w:hAnsi="宋体"/>
                <w:szCs w:val="21"/>
              </w:rPr>
              <w:t>6.淋水试验记录，天沟或排水槽等关键部位的蓄水试验记录，溢流系统排水试验记录，防雷检测报告；</w:t>
            </w:r>
          </w:p>
          <w:p w14:paraId="038E5963">
            <w:pPr>
              <w:rPr>
                <w:rFonts w:ascii="宋体" w:hAnsi="宋体"/>
                <w:szCs w:val="21"/>
              </w:rPr>
            </w:pPr>
            <w:r>
              <w:rPr>
                <w:rFonts w:hint="eastAsia" w:ascii="宋体" w:hAnsi="宋体"/>
                <w:szCs w:val="21"/>
              </w:rPr>
              <w:t>7.各连接部位应牢固、可靠，隐蔽工程符合图纸要求，隐蔽工程记录真实、齐全，并经监理签字认可（隐蔽工程包括：预埋件或后置螺栓连接；构件与主体结构连接；伸缩缝、沉降缝、抗震缝、金属板搭接封口节点；防雷节点及防火、排烟节点、屋面与山墙连接节点等）；</w:t>
            </w:r>
          </w:p>
          <w:p w14:paraId="2DE73707">
            <w:pPr>
              <w:rPr>
                <w:rFonts w:ascii="宋体" w:hAnsi="宋体"/>
                <w:szCs w:val="21"/>
              </w:rPr>
            </w:pPr>
            <w:r>
              <w:rPr>
                <w:rFonts w:hint="eastAsia" w:ascii="宋体" w:hAnsi="宋体"/>
                <w:szCs w:val="21"/>
              </w:rPr>
              <w:t>8.采用新材料的须提供耐候性、耐久性、可靠性依据。含水材料使用在严寒地区的应提供冻融复试报告。复合材料应关注温度应力产生变形导致的安全问题；</w:t>
            </w:r>
          </w:p>
          <w:p w14:paraId="6298B9D9">
            <w:pPr>
              <w:rPr>
                <w:rFonts w:ascii="宋体" w:hAnsi="宋体"/>
                <w:szCs w:val="21"/>
              </w:rPr>
            </w:pPr>
            <w:r>
              <w:rPr>
                <w:rFonts w:hint="eastAsia" w:ascii="宋体" w:hAnsi="宋体"/>
                <w:szCs w:val="21"/>
              </w:rPr>
              <w:t>9.合格证、检验记录、检测报告应提供原件且真实有效。检测结果应符合设计要求及相关标准规范要求。</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96B1866">
            <w:pPr>
              <w:rPr>
                <w:rFonts w:ascii="宋体" w:hAnsi="宋体"/>
                <w:szCs w:val="21"/>
              </w:rPr>
            </w:pPr>
            <w:r>
              <w:rPr>
                <w:rFonts w:hint="eastAsia" w:ascii="宋体" w:hAnsi="宋体"/>
                <w:szCs w:val="21"/>
              </w:rPr>
              <w:t>1.采光顶玻璃未采用夹层玻璃（扣15分）；</w:t>
            </w:r>
          </w:p>
          <w:p w14:paraId="4EAB4A0F">
            <w:pPr>
              <w:rPr>
                <w:rFonts w:ascii="宋体" w:hAnsi="宋体"/>
                <w:szCs w:val="21"/>
              </w:rPr>
            </w:pPr>
            <w:r>
              <w:rPr>
                <w:rFonts w:hint="eastAsia" w:ascii="宋体" w:hAnsi="宋体"/>
                <w:szCs w:val="21"/>
              </w:rPr>
              <w:t>2.主要材料质量严重不符合标准、规范和设计要求（每项扣1-3分）；</w:t>
            </w:r>
          </w:p>
          <w:p w14:paraId="7E856293">
            <w:pPr>
              <w:rPr>
                <w:rFonts w:ascii="宋体" w:hAnsi="宋体"/>
                <w:szCs w:val="21"/>
              </w:rPr>
            </w:pPr>
            <w:r>
              <w:rPr>
                <w:rFonts w:hint="eastAsia" w:ascii="宋体" w:hAnsi="宋体"/>
                <w:szCs w:val="21"/>
              </w:rPr>
              <w:t>3.提供的主材质量证明资料与工程所用材料不符（每项扣1-2分）；</w:t>
            </w:r>
          </w:p>
          <w:p w14:paraId="711C6BCD">
            <w:pPr>
              <w:rPr>
                <w:rFonts w:ascii="宋体" w:hAnsi="宋体"/>
                <w:szCs w:val="21"/>
              </w:rPr>
            </w:pPr>
            <w:r>
              <w:rPr>
                <w:rFonts w:hint="eastAsia" w:ascii="宋体" w:hAnsi="宋体"/>
                <w:szCs w:val="21"/>
              </w:rPr>
              <w:t>4.无物理性能检测报告（每项扣0.5-1分）；</w:t>
            </w:r>
          </w:p>
          <w:p w14:paraId="1E88A7C3">
            <w:pPr>
              <w:rPr>
                <w:rFonts w:ascii="宋体" w:hAnsi="宋体"/>
                <w:szCs w:val="21"/>
              </w:rPr>
            </w:pPr>
            <w:r>
              <w:rPr>
                <w:rFonts w:hint="eastAsia" w:ascii="宋体" w:hAnsi="宋体"/>
                <w:szCs w:val="21"/>
              </w:rPr>
              <w:t>5.其它不符合要求或不合规情况（每项扣0.5-1分）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420AB5">
            <w:pPr>
              <w:rPr>
                <w:rFonts w:ascii="宋体" w:hAnsi="宋体"/>
                <w:szCs w:val="21"/>
              </w:rPr>
            </w:pPr>
            <w:r>
              <w:rPr>
                <w:rFonts w:hint="eastAsia" w:ascii="宋体" w:hAnsi="宋体"/>
                <w:szCs w:val="21"/>
              </w:rPr>
              <w:t>包括但不限于材料、施工以及施工管理等方面涉及工程质量性能、安全性、可靠性等方面的质量管理资料；</w:t>
            </w:r>
          </w:p>
          <w:p w14:paraId="22C211D8">
            <w:pPr>
              <w:rPr>
                <w:rFonts w:ascii="宋体" w:hAnsi="宋体"/>
                <w:szCs w:val="21"/>
              </w:rPr>
            </w:pPr>
          </w:p>
          <w:p w14:paraId="591CE8C8">
            <w:pPr>
              <w:rPr>
                <w:rFonts w:ascii="宋体" w:hAnsi="宋体"/>
                <w:szCs w:val="21"/>
              </w:rPr>
            </w:pPr>
            <w:r>
              <w:rPr>
                <w:rFonts w:hint="eastAsia" w:ascii="宋体" w:hAnsi="宋体"/>
                <w:szCs w:val="21"/>
              </w:rPr>
              <w:t>隐蔽部位的质量管理资料</w:t>
            </w:r>
          </w:p>
          <w:p w14:paraId="4EAE1AEC">
            <w:pPr>
              <w:rPr>
                <w:rFonts w:ascii="宋体" w:hAnsi="宋体"/>
                <w:szCs w:val="21"/>
              </w:rPr>
            </w:pPr>
          </w:p>
          <w:p w14:paraId="4767AD23">
            <w:pPr>
              <w:snapToGrid w:val="0"/>
              <w:spacing w:line="288" w:lineRule="auto"/>
              <w:jc w:val="left"/>
              <w:rPr>
                <w:rFonts w:ascii="宋体" w:hAnsi="宋体"/>
                <w:szCs w:val="21"/>
              </w:rPr>
            </w:pPr>
            <w:r>
              <w:rPr>
                <w:rFonts w:hint="eastAsia" w:ascii="宋体" w:hAnsi="宋体"/>
                <w:szCs w:val="21"/>
              </w:rPr>
              <w:t>高寒、台风等特殊气候地区的质量管理资料</w:t>
            </w:r>
          </w:p>
        </w:tc>
        <w:tc>
          <w:tcPr>
            <w:tcW w:w="709" w:type="dxa"/>
            <w:vMerge w:val="continue"/>
            <w:tcBorders>
              <w:left w:val="single" w:color="auto" w:sz="4" w:space="0"/>
              <w:bottom w:val="single" w:color="auto" w:sz="4" w:space="0"/>
              <w:right w:val="single" w:color="auto" w:sz="4" w:space="0"/>
            </w:tcBorders>
            <w:noWrap w:val="0"/>
            <w:vAlign w:val="center"/>
          </w:tcPr>
          <w:p w14:paraId="127CB5FE">
            <w:pPr>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D629FC">
            <w:pPr>
              <w:rPr>
                <w:rFonts w:ascii="宋体" w:hAnsi="宋体"/>
                <w:szCs w:val="21"/>
              </w:rPr>
            </w:pPr>
          </w:p>
        </w:tc>
      </w:tr>
      <w:tr w14:paraId="76E0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9" w:hRule="atLeast"/>
        </w:trPr>
        <w:tc>
          <w:tcPr>
            <w:tcW w:w="567" w:type="dxa"/>
            <w:tcBorders>
              <w:top w:val="single" w:color="auto" w:sz="4" w:space="0"/>
              <w:left w:val="single" w:color="auto" w:sz="4" w:space="0"/>
              <w:right w:val="single" w:color="auto" w:sz="4" w:space="0"/>
            </w:tcBorders>
            <w:noWrap w:val="0"/>
            <w:vAlign w:val="center"/>
          </w:tcPr>
          <w:p w14:paraId="529A17C2">
            <w:pPr>
              <w:jc w:val="center"/>
              <w:rPr>
                <w:rFonts w:ascii="宋体" w:hAnsi="宋体"/>
                <w:szCs w:val="21"/>
              </w:rPr>
            </w:pPr>
            <w:r>
              <w:rPr>
                <w:rFonts w:hint="eastAsia" w:ascii="宋体" w:hAnsi="宋体"/>
                <w:szCs w:val="21"/>
              </w:rPr>
              <w:t>2</w:t>
            </w:r>
          </w:p>
        </w:tc>
        <w:tc>
          <w:tcPr>
            <w:tcW w:w="1276" w:type="dxa"/>
            <w:tcBorders>
              <w:top w:val="single" w:color="auto" w:sz="4" w:space="0"/>
              <w:left w:val="single" w:color="auto" w:sz="4" w:space="0"/>
              <w:right w:val="single" w:color="auto" w:sz="4" w:space="0"/>
            </w:tcBorders>
            <w:noWrap w:val="0"/>
            <w:vAlign w:val="center"/>
          </w:tcPr>
          <w:p w14:paraId="7F97E491">
            <w:pPr>
              <w:jc w:val="center"/>
              <w:rPr>
                <w:rFonts w:ascii="宋体" w:hAnsi="宋体"/>
                <w:szCs w:val="21"/>
              </w:rPr>
            </w:pPr>
            <w:r>
              <w:rPr>
                <w:rFonts w:hint="eastAsia" w:ascii="宋体" w:hAnsi="宋体"/>
                <w:szCs w:val="21"/>
              </w:rPr>
              <w:t>热工计算书</w:t>
            </w:r>
          </w:p>
        </w:tc>
        <w:tc>
          <w:tcPr>
            <w:tcW w:w="5103" w:type="dxa"/>
            <w:tcBorders>
              <w:top w:val="single" w:color="auto" w:sz="4" w:space="0"/>
              <w:left w:val="single" w:color="auto" w:sz="4" w:space="0"/>
              <w:right w:val="single" w:color="auto" w:sz="4" w:space="0"/>
            </w:tcBorders>
            <w:noWrap w:val="0"/>
            <w:vAlign w:val="center"/>
          </w:tcPr>
          <w:p w14:paraId="6514F0C0">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工程所有的采光顶和金属屋面类型都应有热工计算或建筑设计单位节能报告书；无保温隔热要求的采光顶和金属屋面不用热工计算；</w:t>
            </w:r>
          </w:p>
          <w:p w14:paraId="1F6122E8">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应提供建筑设计单位出具的建筑整体的节能计算书或建筑施工图设计说明中的节能专篇，来明确采光顶或金属屋面应当达到的热工性能具体数值；</w:t>
            </w:r>
          </w:p>
          <w:p w14:paraId="414FCCC1">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热工计算书审批签字手续应齐全，加盖设计计算单位的公章或出图章；</w:t>
            </w:r>
          </w:p>
          <w:p w14:paraId="78E9C5CA">
            <w:pPr>
              <w:rPr>
                <w:rFonts w:ascii="宋体" w:hAnsi="宋体"/>
                <w:szCs w:val="21"/>
              </w:rPr>
            </w:pPr>
            <w:r>
              <w:rPr>
                <w:rFonts w:hint="eastAsia" w:ascii="宋体" w:hAnsi="宋体"/>
                <w:szCs w:val="21"/>
              </w:rPr>
              <w:t>4.寒冷和严寒地区采光顶应进行结露性能评价计算。</w:t>
            </w:r>
          </w:p>
        </w:tc>
        <w:tc>
          <w:tcPr>
            <w:tcW w:w="2410" w:type="dxa"/>
            <w:tcBorders>
              <w:top w:val="single" w:color="auto" w:sz="4" w:space="0"/>
              <w:left w:val="single" w:color="auto" w:sz="4" w:space="0"/>
              <w:right w:val="single" w:color="auto" w:sz="4" w:space="0"/>
            </w:tcBorders>
            <w:noWrap w:val="0"/>
            <w:vAlign w:val="center"/>
          </w:tcPr>
          <w:p w14:paraId="4D9F6D90">
            <w:pPr>
              <w:ind w:left="2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无热工计算书（扣5分）；</w:t>
            </w:r>
          </w:p>
          <w:p w14:paraId="26C5ECA5">
            <w:pPr>
              <w:rPr>
                <w:rFonts w:ascii="宋体" w:hAnsi="宋体"/>
                <w:szCs w:val="21"/>
              </w:rPr>
            </w:pPr>
            <w:r>
              <w:rPr>
                <w:rFonts w:hint="eastAsia" w:ascii="宋体" w:hAnsi="宋体"/>
                <w:szCs w:val="21"/>
              </w:rPr>
              <w:t>2.计算出现严重错误或计算结果不满足建筑节能设计要求（每项扣0.5-1分）；</w:t>
            </w:r>
          </w:p>
          <w:p w14:paraId="596D8F44">
            <w:pPr>
              <w:rPr>
                <w:rFonts w:ascii="宋体" w:hAnsi="宋体"/>
                <w:szCs w:val="21"/>
              </w:rPr>
            </w:pPr>
            <w:r>
              <w:rPr>
                <w:rFonts w:hint="eastAsia" w:ascii="宋体" w:hAnsi="宋体"/>
                <w:szCs w:val="21"/>
              </w:rPr>
              <w:t>3.其它不符合要求或不合规情况（扣0.5-1分）</w:t>
            </w:r>
          </w:p>
        </w:tc>
        <w:tc>
          <w:tcPr>
            <w:tcW w:w="1701" w:type="dxa"/>
            <w:tcBorders>
              <w:top w:val="single" w:color="auto" w:sz="4" w:space="0"/>
              <w:left w:val="single" w:color="auto" w:sz="4" w:space="0"/>
              <w:right w:val="single" w:color="auto" w:sz="4" w:space="0"/>
            </w:tcBorders>
            <w:noWrap w:val="0"/>
            <w:vAlign w:val="center"/>
          </w:tcPr>
          <w:p w14:paraId="5B63E52A">
            <w:pPr>
              <w:rPr>
                <w:rFonts w:ascii="宋体" w:hAnsi="宋体"/>
                <w:szCs w:val="21"/>
              </w:rPr>
            </w:pPr>
            <w:r>
              <w:rPr>
                <w:rFonts w:hint="eastAsia" w:ascii="宋体" w:hAnsi="宋体"/>
                <w:szCs w:val="21"/>
              </w:rPr>
              <w:t>无无热工计算书或缺少部分热工计算书；</w:t>
            </w:r>
          </w:p>
          <w:p w14:paraId="2DB040D6">
            <w:pPr>
              <w:rPr>
                <w:rFonts w:ascii="宋体" w:hAnsi="宋体"/>
                <w:szCs w:val="21"/>
              </w:rPr>
            </w:pPr>
            <w:r>
              <w:rPr>
                <w:rFonts w:hint="eastAsia" w:ascii="宋体" w:hAnsi="宋体"/>
                <w:szCs w:val="21"/>
              </w:rPr>
              <w:t>计算出现严重错误；</w:t>
            </w:r>
          </w:p>
          <w:p w14:paraId="13236EA0">
            <w:pPr>
              <w:rPr>
                <w:rFonts w:ascii="宋体" w:hAnsi="宋体"/>
                <w:szCs w:val="21"/>
              </w:rPr>
            </w:pPr>
          </w:p>
        </w:tc>
        <w:tc>
          <w:tcPr>
            <w:tcW w:w="709" w:type="dxa"/>
            <w:tcBorders>
              <w:top w:val="single" w:color="auto" w:sz="4" w:space="0"/>
              <w:left w:val="single" w:color="auto" w:sz="4" w:space="0"/>
              <w:right w:val="single" w:color="auto" w:sz="4" w:space="0"/>
            </w:tcBorders>
            <w:noWrap w:val="0"/>
            <w:vAlign w:val="center"/>
          </w:tcPr>
          <w:p w14:paraId="1F3E9399">
            <w:pPr>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right w:val="single" w:color="auto" w:sz="4" w:space="0"/>
            </w:tcBorders>
            <w:noWrap w:val="0"/>
            <w:vAlign w:val="center"/>
          </w:tcPr>
          <w:p w14:paraId="72006F96">
            <w:pPr>
              <w:rPr>
                <w:rFonts w:ascii="宋体" w:hAnsi="宋体"/>
                <w:szCs w:val="21"/>
              </w:rPr>
            </w:pPr>
            <w:r>
              <w:rPr>
                <w:rFonts w:hint="eastAsia" w:ascii="宋体" w:hAnsi="宋体"/>
                <w:szCs w:val="21"/>
              </w:rPr>
              <w:t>结合相关资料等查热工计算书</w:t>
            </w:r>
          </w:p>
        </w:tc>
      </w:tr>
      <w:tr w14:paraId="0846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641C06D0">
            <w:pPr>
              <w:jc w:val="center"/>
              <w:rPr>
                <w:rFonts w:ascii="宋体" w:hAnsi="宋体"/>
                <w:szCs w:val="21"/>
              </w:rPr>
            </w:pPr>
            <w:r>
              <w:rPr>
                <w:rFonts w:hint="eastAsia" w:ascii="宋体" w:hAnsi="宋体"/>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BE40035">
            <w:pPr>
              <w:jc w:val="center"/>
              <w:rPr>
                <w:rFonts w:ascii="宋体" w:hAnsi="宋体"/>
                <w:szCs w:val="21"/>
              </w:rPr>
            </w:pPr>
            <w:r>
              <w:rPr>
                <w:rFonts w:ascii="宋体" w:hAnsi="宋体"/>
                <w:szCs w:val="21"/>
              </w:rPr>
              <w:t>结构计算书</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3E691D38">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工程所有的采光顶和金属屋面类型都应有结构计算书；</w:t>
            </w:r>
          </w:p>
          <w:p w14:paraId="157D277A">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计算内容应齐全完整不缺项，计算应有明确结论，计算结果满足工程设计要求；</w:t>
            </w:r>
          </w:p>
          <w:p w14:paraId="53F25D68">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正确选择计算单元，对受力最不利的各个部位都应当计算；</w:t>
            </w:r>
          </w:p>
          <w:p w14:paraId="2AFD6B11">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正确、合理选择计算参数（各种荷载及作用的参数及其组合，材料力学特性数值），采光顶玻璃的强度设计值应取受长期荷载作用下的数值；</w:t>
            </w:r>
          </w:p>
          <w:p w14:paraId="27F450B3">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龙骨、面材、连接结构的计算模型应当与图纸及实际施工情况一致，真实、正确反映受力情况；</w:t>
            </w:r>
          </w:p>
          <w:p w14:paraId="70363218">
            <w:pPr>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大型金属屋面应计算屋面板、金属天沟因热胀冷缩产生的应力和位移；</w:t>
            </w:r>
          </w:p>
          <w:p w14:paraId="20FA217C">
            <w:pPr>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金属屋面应做抗风掀计算。直立锁边金属屋面的T型支座及其连接螺钉应做计算；</w:t>
            </w:r>
          </w:p>
          <w:p w14:paraId="0E43FDB6">
            <w:pPr>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大型采光顶和金属屋面应有建筑设计院给排水专业对汇水量、天沟水容量、水流速、虹吸排水量的计算分析；</w:t>
            </w:r>
          </w:p>
          <w:p w14:paraId="5D815A2F">
            <w:pPr>
              <w:rPr>
                <w:rFonts w:ascii="宋体" w:hAnsi="宋体"/>
                <w:szCs w:val="21"/>
              </w:rPr>
            </w:pPr>
            <w:r>
              <w:rPr>
                <w:rFonts w:hint="eastAsia" w:ascii="宋体" w:hAnsi="宋体"/>
                <w:spacing w:val="-6"/>
                <w:szCs w:val="21"/>
              </w:rPr>
              <w:t>9</w:t>
            </w:r>
            <w:r>
              <w:rPr>
                <w:rFonts w:ascii="宋体" w:hAnsi="宋体"/>
                <w:spacing w:val="-6"/>
                <w:szCs w:val="21"/>
              </w:rPr>
              <w:t>.</w:t>
            </w:r>
            <w:r>
              <w:rPr>
                <w:rFonts w:hint="eastAsia" w:ascii="宋体" w:hAnsi="宋体"/>
                <w:spacing w:val="-6"/>
                <w:szCs w:val="21"/>
              </w:rPr>
              <w:t>有预应力索杆结构的，计算书应当提供对主体结构的拉力值，有主体结构设计单位出具的技术文件，确认主体结构能够承受索杆体系对主体结构的作用力；</w:t>
            </w:r>
          </w:p>
          <w:p w14:paraId="402CCBC1">
            <w:pP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结构计算书审批签字手续应齐全，加盖设计计算单位的公章或出图章；</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AF7E2F5">
            <w:pPr>
              <w:rPr>
                <w:rFonts w:ascii="宋体" w:hAnsi="宋体"/>
                <w:szCs w:val="21"/>
              </w:rPr>
            </w:pPr>
            <w:r>
              <w:rPr>
                <w:rFonts w:hint="eastAsia" w:ascii="宋体" w:hAnsi="宋体"/>
                <w:szCs w:val="21"/>
              </w:rPr>
              <w:t>1.无结构计算书的（扣15分）；</w:t>
            </w:r>
          </w:p>
          <w:p w14:paraId="7BC699D4">
            <w:pPr>
              <w:rPr>
                <w:rFonts w:ascii="宋体" w:hAnsi="宋体"/>
                <w:szCs w:val="21"/>
              </w:rPr>
            </w:pPr>
            <w:r>
              <w:rPr>
                <w:rFonts w:hint="eastAsia" w:ascii="宋体" w:hAnsi="宋体"/>
                <w:szCs w:val="21"/>
              </w:rPr>
              <w:t>2.计算出现严重错误或计算结果不满足工程设计要求，使结构存在安全隐患（每项扣3-5分）；</w:t>
            </w:r>
          </w:p>
          <w:p w14:paraId="053789A4">
            <w:pPr>
              <w:rPr>
                <w:rFonts w:ascii="宋体" w:hAnsi="宋体"/>
                <w:szCs w:val="21"/>
              </w:rPr>
            </w:pPr>
            <w:r>
              <w:rPr>
                <w:rFonts w:hint="eastAsia" w:ascii="宋体" w:hAnsi="宋体"/>
                <w:szCs w:val="21"/>
              </w:rPr>
              <w:t>3.缺两种及以上采光顶或金属屋面主要类型的结构计算书（每项扣1-3分）；</w:t>
            </w:r>
          </w:p>
          <w:p w14:paraId="22D5CBE8">
            <w:pPr>
              <w:rPr>
                <w:rFonts w:ascii="宋体" w:hAnsi="宋体"/>
                <w:szCs w:val="21"/>
              </w:rPr>
            </w:pPr>
            <w:r>
              <w:rPr>
                <w:rFonts w:hint="eastAsia" w:ascii="宋体" w:hAnsi="宋体"/>
                <w:szCs w:val="21"/>
              </w:rPr>
              <w:t>4.其它不符合要求或不合规情况（每项扣0.5-1分）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9E3A54">
            <w:pPr>
              <w:rPr>
                <w:rFonts w:ascii="宋体" w:hAnsi="宋体"/>
                <w:szCs w:val="21"/>
              </w:rPr>
            </w:pPr>
            <w:r>
              <w:rPr>
                <w:rFonts w:hint="eastAsia" w:ascii="宋体" w:hAnsi="宋体"/>
                <w:szCs w:val="21"/>
              </w:rPr>
              <w:t>1.无任何结构计算书的；</w:t>
            </w:r>
          </w:p>
          <w:p w14:paraId="2B2D7976">
            <w:pPr>
              <w:rPr>
                <w:rFonts w:ascii="宋体" w:hAnsi="宋体"/>
                <w:szCs w:val="21"/>
              </w:rPr>
            </w:pPr>
          </w:p>
          <w:p w14:paraId="719B1863">
            <w:pPr>
              <w:rPr>
                <w:rFonts w:ascii="宋体" w:hAnsi="宋体"/>
                <w:szCs w:val="21"/>
              </w:rPr>
            </w:pPr>
            <w:r>
              <w:rPr>
                <w:rFonts w:hint="eastAsia" w:ascii="宋体" w:hAnsi="宋体"/>
                <w:szCs w:val="21"/>
              </w:rPr>
              <w:t>2.缺采光顶或金属屋面主要类型的结构计算书或计算结果出现严重错误的；</w:t>
            </w:r>
          </w:p>
          <w:p w14:paraId="44350696">
            <w:pPr>
              <w:rPr>
                <w:rFonts w:ascii="宋体" w:hAnsi="宋体"/>
                <w:szCs w:val="21"/>
              </w:rPr>
            </w:pPr>
          </w:p>
          <w:p w14:paraId="54F7BAF5">
            <w:pPr>
              <w:rPr>
                <w:rFonts w:ascii="宋体" w:hAnsi="宋体"/>
                <w:szCs w:val="21"/>
              </w:rPr>
            </w:pPr>
            <w:r>
              <w:rPr>
                <w:rFonts w:hint="eastAsia" w:ascii="宋体" w:hAnsi="宋体"/>
                <w:szCs w:val="21"/>
              </w:rPr>
              <w:t>3.存在其他不符合要求或不合规情况。</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967A229">
            <w:pP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298A26">
            <w:pPr>
              <w:rPr>
                <w:rFonts w:ascii="宋体" w:hAnsi="宋体"/>
                <w:szCs w:val="21"/>
              </w:rPr>
            </w:pPr>
            <w:r>
              <w:rPr>
                <w:rFonts w:hint="eastAsia" w:ascii="宋体" w:hAnsi="宋体"/>
                <w:szCs w:val="21"/>
              </w:rPr>
              <w:t>查：结构计算书、技术资料等，结合工程实体。</w:t>
            </w:r>
          </w:p>
        </w:tc>
      </w:tr>
      <w:tr w14:paraId="1A8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74512575">
            <w:pPr>
              <w:jc w:val="center"/>
              <w:rPr>
                <w:rFonts w:ascii="宋体" w:hAnsi="宋体"/>
                <w:szCs w:val="21"/>
              </w:rPr>
            </w:pPr>
            <w:r>
              <w:rPr>
                <w:rFonts w:hint="eastAsia" w:ascii="宋体" w:hAnsi="宋体"/>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B9CB63">
            <w:pPr>
              <w:jc w:val="center"/>
              <w:rPr>
                <w:rFonts w:ascii="宋体" w:hAnsi="宋体"/>
                <w:szCs w:val="21"/>
              </w:rPr>
            </w:pPr>
            <w:r>
              <w:rPr>
                <w:rFonts w:ascii="宋体" w:hAnsi="宋体"/>
                <w:szCs w:val="21"/>
              </w:rPr>
              <w:t>竣工图纸</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F0E793B">
            <w:pPr>
              <w:rPr>
                <w:rFonts w:ascii="宋体" w:hAnsi="宋体"/>
                <w:szCs w:val="21"/>
              </w:rPr>
            </w:pPr>
            <w:r>
              <w:rPr>
                <w:rFonts w:hint="eastAsia" w:ascii="宋体" w:hAnsi="宋体"/>
                <w:szCs w:val="21"/>
              </w:rPr>
              <w:t>1.竣工图内容应包括：目录、设计说明、平面图、立面图、剖面图、大样详图，节点图，构件图，型材截面图、预埋件或后置埋件图、排水组织图等；</w:t>
            </w:r>
          </w:p>
          <w:p w14:paraId="66F50E7B">
            <w:pPr>
              <w:pStyle w:val="4"/>
              <w:ind w:firstLine="0" w:firstLineChars="0"/>
              <w:rPr>
                <w:rFonts w:ascii="宋体" w:hAnsi="宋体"/>
                <w:szCs w:val="21"/>
              </w:rPr>
            </w:pPr>
            <w:r>
              <w:rPr>
                <w:rFonts w:hint="eastAsia" w:ascii="宋体" w:hAnsi="宋体"/>
                <w:szCs w:val="21"/>
              </w:rPr>
              <w:t>2.设计说明应包括如下内容：工程概况、设计参数、设计依据、设计标准、设计范围、采光顶和金属屋面的类型及其设计构造、物理性能、热工性能、避雷防火说明、所用材料的材质规格、加工制作技术要求等。使用后置锚栓的，应当注明锚栓的拉拔力设计值；</w:t>
            </w:r>
          </w:p>
          <w:p w14:paraId="0EA4BE1C">
            <w:pPr>
              <w:rPr>
                <w:rFonts w:ascii="宋体" w:hAnsi="宋体"/>
                <w:szCs w:val="21"/>
              </w:rPr>
            </w:pPr>
            <w:r>
              <w:rPr>
                <w:rFonts w:hint="eastAsia" w:ascii="宋体" w:hAnsi="宋体"/>
                <w:szCs w:val="21"/>
              </w:rPr>
              <w:t>3.设计应考虑排水、避雷、防火等措施。大型金属屋面还应考虑屋面板、金属天沟因热胀冷缩产生的应力和位移在构造上采取的措施。有防水要求的采光顶及金属屋面必须有完整的导排水措施，并在平面图及相关节点图表达；</w:t>
            </w:r>
          </w:p>
          <w:p w14:paraId="2E42C484">
            <w:pPr>
              <w:rPr>
                <w:rFonts w:ascii="宋体" w:hAnsi="宋体"/>
                <w:szCs w:val="21"/>
              </w:rPr>
            </w:pPr>
            <w:r>
              <w:rPr>
                <w:rFonts w:hint="eastAsia" w:ascii="宋体" w:hAnsi="宋体"/>
                <w:szCs w:val="21"/>
              </w:rPr>
              <w:t>4.节点图应包括各系统的典型节点、与主体结构连接节点、天沟节点、溢流口节点、檐口节点、通风口检修口排烟窗与金属屋面交接封口节点、金属屋面与山墙交接节点、金属屋面与采光顶交接节点、变形缝节点等；</w:t>
            </w:r>
          </w:p>
          <w:p w14:paraId="1B0DF12A">
            <w:pPr>
              <w:rPr>
                <w:rFonts w:ascii="宋体" w:hAnsi="宋体"/>
                <w:szCs w:val="21"/>
              </w:rPr>
            </w:pPr>
            <w:r>
              <w:rPr>
                <w:rFonts w:hint="eastAsia" w:ascii="宋体" w:hAnsi="宋体"/>
                <w:szCs w:val="21"/>
              </w:rPr>
              <w:t>5.图纸应正确完整、字迹图形清晰，审批手续齐全并盖有设计单位出图章和施工单位竣工图章；</w:t>
            </w:r>
          </w:p>
          <w:p w14:paraId="5709C94E">
            <w:pPr>
              <w:rPr>
                <w:rFonts w:ascii="宋体" w:hAnsi="宋体"/>
                <w:szCs w:val="21"/>
              </w:rPr>
            </w:pPr>
            <w:r>
              <w:rPr>
                <w:rFonts w:hint="eastAsia" w:ascii="宋体" w:hAnsi="宋体"/>
                <w:szCs w:val="21"/>
              </w:rPr>
              <w:t>6.设计（包括性能、节点构造、使用材料）应符合相关标准和规范的要求，符合原建筑设计的要求；</w:t>
            </w:r>
          </w:p>
          <w:p w14:paraId="7DE71DDE">
            <w:pPr>
              <w:rPr>
                <w:rFonts w:ascii="宋体" w:hAnsi="宋体"/>
                <w:szCs w:val="21"/>
              </w:rPr>
            </w:pPr>
            <w:r>
              <w:rPr>
                <w:rFonts w:hint="eastAsia" w:ascii="宋体" w:hAnsi="宋体"/>
                <w:szCs w:val="21"/>
              </w:rPr>
              <w:t>7.玻璃采光顶采用隐框或半隐框做法的，应标注结构胶宽度及厚度尺寸；</w:t>
            </w:r>
          </w:p>
          <w:p w14:paraId="1BF3304E">
            <w:pPr>
              <w:rPr>
                <w:rFonts w:ascii="宋体" w:hAnsi="宋体"/>
                <w:szCs w:val="21"/>
              </w:rPr>
            </w:pPr>
            <w:r>
              <w:rPr>
                <w:rFonts w:hint="eastAsia" w:ascii="宋体" w:hAnsi="宋体"/>
                <w:szCs w:val="21"/>
              </w:rPr>
              <w:t>8.寒冷和严寒地区的采光顶和金属屋面节点构造中不得有明显冷桥；</w:t>
            </w:r>
          </w:p>
          <w:p w14:paraId="0CBBB479">
            <w:pPr>
              <w:rPr>
                <w:rFonts w:hint="eastAsia" w:ascii="宋体" w:hAnsi="宋体"/>
                <w:szCs w:val="21"/>
              </w:rPr>
            </w:pPr>
            <w:r>
              <w:rPr>
                <w:rFonts w:hint="eastAsia" w:ascii="宋体" w:hAnsi="宋体"/>
                <w:szCs w:val="21"/>
              </w:rPr>
              <w:t>9.旧改工程，应当有主体结构设计单位对采光顶和金属屋面工程图纸进行受力复核，审核确认采光顶和金属屋面对主体结构作用力在其可承受范围内；</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B23AB6">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竣工图没有设计说明或说明不符合要求的（每项扣1-3分）；</w:t>
            </w:r>
          </w:p>
          <w:p w14:paraId="57AEACEA">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缺两种及以上主要结构构造类型的竣工图（每项扣3-5分）；</w:t>
            </w:r>
          </w:p>
          <w:p w14:paraId="3531DF03">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其它不符合要求或不合规情况（每项扣0.5-2分）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DEEC27">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竣工图没有设计说明；</w:t>
            </w:r>
          </w:p>
          <w:p w14:paraId="37EF49F0">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竣工图缺两处以上重要结构构造的；</w:t>
            </w:r>
          </w:p>
          <w:p w14:paraId="709CDB5A">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竣工图与工程实体符合性。</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6879EE">
            <w:pPr>
              <w:jc w:val="center"/>
              <w:rPr>
                <w:rFonts w:ascii="宋体" w:hAnsi="宋体"/>
                <w:szCs w:val="21"/>
              </w:rPr>
            </w:pPr>
            <w:r>
              <w:rPr>
                <w:rFonts w:hint="eastAsia" w:ascii="宋体" w:hAnsi="宋体"/>
                <w:szCs w:val="21"/>
              </w:rPr>
              <w:t>15分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3C7B26">
            <w:pPr>
              <w:rPr>
                <w:rFonts w:ascii="宋体" w:hAnsi="宋体"/>
                <w:szCs w:val="21"/>
              </w:rPr>
            </w:pPr>
            <w:r>
              <w:rPr>
                <w:rFonts w:ascii="宋体" w:hAnsi="宋体"/>
                <w:szCs w:val="21"/>
              </w:rPr>
              <w:t>查：竣工图纸，结合工程实体。</w:t>
            </w:r>
          </w:p>
        </w:tc>
      </w:tr>
      <w:tr w14:paraId="6D5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0" w:hRule="atLeast"/>
        </w:trPr>
        <w:tc>
          <w:tcPr>
            <w:tcW w:w="567" w:type="dxa"/>
            <w:tcBorders>
              <w:top w:val="single" w:color="auto" w:sz="4" w:space="0"/>
              <w:left w:val="single" w:color="auto" w:sz="4" w:space="0"/>
              <w:right w:val="single" w:color="auto" w:sz="4" w:space="0"/>
            </w:tcBorders>
            <w:noWrap w:val="0"/>
            <w:vAlign w:val="center"/>
          </w:tcPr>
          <w:p w14:paraId="36069B82">
            <w:pPr>
              <w:jc w:val="center"/>
              <w:rPr>
                <w:rFonts w:hint="eastAsia" w:ascii="宋体" w:hAnsi="宋体"/>
                <w:szCs w:val="21"/>
              </w:rPr>
            </w:pPr>
            <w:r>
              <w:rPr>
                <w:rFonts w:hint="eastAsia" w:ascii="宋体" w:hAnsi="宋体"/>
                <w:szCs w:val="21"/>
              </w:rPr>
              <w:t>5</w:t>
            </w:r>
          </w:p>
        </w:tc>
        <w:tc>
          <w:tcPr>
            <w:tcW w:w="1276" w:type="dxa"/>
            <w:tcBorders>
              <w:top w:val="single" w:color="auto" w:sz="4" w:space="0"/>
              <w:left w:val="single" w:color="auto" w:sz="4" w:space="0"/>
              <w:right w:val="single" w:color="auto" w:sz="4" w:space="0"/>
            </w:tcBorders>
            <w:noWrap w:val="0"/>
            <w:vAlign w:val="center"/>
          </w:tcPr>
          <w:p w14:paraId="4C8DC6C5">
            <w:pPr>
              <w:rPr>
                <w:rFonts w:ascii="宋体" w:hAnsi="宋体"/>
                <w:szCs w:val="21"/>
              </w:rPr>
            </w:pPr>
            <w:r>
              <w:rPr>
                <w:rFonts w:ascii="宋体" w:hAnsi="宋体"/>
                <w:szCs w:val="21"/>
              </w:rPr>
              <w:t>工程实体</w:t>
            </w:r>
          </w:p>
        </w:tc>
        <w:tc>
          <w:tcPr>
            <w:tcW w:w="5103" w:type="dxa"/>
            <w:tcBorders>
              <w:top w:val="single" w:color="auto" w:sz="4" w:space="0"/>
              <w:left w:val="single" w:color="auto" w:sz="4" w:space="0"/>
              <w:right w:val="single" w:color="auto" w:sz="4" w:space="0"/>
            </w:tcBorders>
            <w:noWrap w:val="0"/>
            <w:vAlign w:val="center"/>
          </w:tcPr>
          <w:p w14:paraId="6F80C994">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工程现场实际的构造做法、使用的材料应当与设计图一致，按图施工；</w:t>
            </w:r>
          </w:p>
          <w:p w14:paraId="56E43ED5">
            <w:pPr>
              <w:rPr>
                <w:rFonts w:ascii="宋体" w:hAnsi="宋体"/>
                <w:szCs w:val="21"/>
              </w:rPr>
            </w:pPr>
            <w:r>
              <w:rPr>
                <w:rFonts w:hint="eastAsia" w:ascii="宋体" w:hAnsi="宋体"/>
                <w:bCs/>
                <w:szCs w:val="21"/>
              </w:rPr>
              <w:t>2</w:t>
            </w:r>
            <w:r>
              <w:rPr>
                <w:rFonts w:ascii="宋体" w:hAnsi="宋体"/>
                <w:bCs/>
                <w:szCs w:val="21"/>
              </w:rPr>
              <w:t>.</w:t>
            </w:r>
            <w:r>
              <w:rPr>
                <w:rFonts w:hint="eastAsia" w:ascii="宋体" w:hAnsi="宋体"/>
                <w:bCs/>
                <w:szCs w:val="21"/>
              </w:rPr>
              <w:t>整体的外观质量应符合要求。面板平整干净无污染、无破损，胶缝整齐密封良好，造型顺滑协调，收口密封严密；</w:t>
            </w:r>
          </w:p>
          <w:p w14:paraId="06F104F9">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外露钢件无严重锈蚀，各连接固定件无松动或脱落，胶条密封良好；</w:t>
            </w:r>
          </w:p>
          <w:p w14:paraId="180C9C08">
            <w:pPr>
              <w:rPr>
                <w:rFonts w:ascii="宋体" w:hAnsi="宋体"/>
                <w:szCs w:val="21"/>
              </w:rPr>
            </w:pPr>
            <w:r>
              <w:rPr>
                <w:rFonts w:hint="eastAsia" w:ascii="宋体" w:hAnsi="宋体"/>
                <w:szCs w:val="21"/>
              </w:rPr>
              <w:t>4．直立锁边屋面板的咬合方向应符合标准要求，咬合紧密且连续平整，不应出现扭曲和裂口，不应有大的形状变化（凹凸现象），直立锁边屋面板与T型支座之间不得有磨穿点；</w:t>
            </w:r>
          </w:p>
          <w:p w14:paraId="7722F581">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采光顶、金属屋面无漏水现象，排水天沟及落水口、溢流口无堵塞现象；</w:t>
            </w:r>
          </w:p>
          <w:p w14:paraId="1DBE44A7">
            <w:pPr>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大型金属屋面上，避雷导线安装符合设计要求；</w:t>
            </w:r>
          </w:p>
          <w:p w14:paraId="3ABAA320">
            <w:pPr>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工程无安全隐患；</w:t>
            </w:r>
          </w:p>
          <w:p w14:paraId="204D7510">
            <w:pPr>
              <w:rPr>
                <w:rFonts w:ascii="宋体" w:hAnsi="宋体"/>
                <w:szCs w:val="21"/>
              </w:rPr>
            </w:pPr>
            <w:r>
              <w:rPr>
                <w:rFonts w:ascii="宋体" w:hAnsi="宋体"/>
                <w:szCs w:val="21"/>
              </w:rPr>
              <w:t>8.</w:t>
            </w:r>
            <w:r>
              <w:rPr>
                <w:rFonts w:hint="eastAsia" w:ascii="宋体" w:hAnsi="宋体"/>
                <w:szCs w:val="21"/>
              </w:rPr>
              <w:t>构造上应安全可靠，应符合《关于淘汰建筑幕墙落后产品和技术的指导意见》（中装协[2016]89号）文件的要求；</w:t>
            </w:r>
          </w:p>
          <w:p w14:paraId="46A61270">
            <w:pPr>
              <w:rPr>
                <w:rFonts w:ascii="宋体" w:hAnsi="宋体"/>
                <w:szCs w:val="21"/>
              </w:rPr>
            </w:pPr>
            <w:r>
              <w:rPr>
                <w:rFonts w:ascii="宋体" w:hAnsi="宋体"/>
                <w:szCs w:val="21"/>
              </w:rPr>
              <w:t>9.</w:t>
            </w:r>
            <w:r>
              <w:rPr>
                <w:rFonts w:hint="eastAsia" w:ascii="宋体" w:hAnsi="宋体"/>
                <w:szCs w:val="21"/>
              </w:rPr>
              <w:t>应符合《关于进一步加强玻璃幕墙安全防护工作的通知》（建标[2015]38号）文件的要求。</w:t>
            </w:r>
          </w:p>
        </w:tc>
        <w:tc>
          <w:tcPr>
            <w:tcW w:w="2410" w:type="dxa"/>
            <w:tcBorders>
              <w:top w:val="single" w:color="auto" w:sz="4" w:space="0"/>
              <w:left w:val="single" w:color="auto" w:sz="4" w:space="0"/>
              <w:right w:val="single" w:color="auto" w:sz="4" w:space="0"/>
            </w:tcBorders>
            <w:noWrap w:val="0"/>
            <w:vAlign w:val="center"/>
          </w:tcPr>
          <w:p w14:paraId="4C28E8F6">
            <w:pPr>
              <w:rPr>
                <w:rFonts w:ascii="宋体" w:hAnsi="宋体"/>
                <w:szCs w:val="21"/>
              </w:rPr>
            </w:pPr>
            <w:r>
              <w:rPr>
                <w:rFonts w:hint="eastAsia" w:ascii="宋体" w:hAnsi="宋体"/>
                <w:szCs w:val="21"/>
              </w:rPr>
              <w:t>1.未按住建部建标[2015]38号文件或中装协[2016]89号文件要求设计、施工的（扣20分）；</w:t>
            </w:r>
          </w:p>
          <w:p w14:paraId="177A0B38">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设计的结构构造存在严重的安全隐患或严重的质量问题（扣5-10分）；</w:t>
            </w:r>
          </w:p>
          <w:p w14:paraId="4AE1E124">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工程有严重漏水现象或其它较大质量问题（每项扣5-10分）；</w:t>
            </w:r>
          </w:p>
          <w:p w14:paraId="038F0D7F">
            <w:pPr>
              <w:rPr>
                <w:rFonts w:ascii="宋体" w:hAnsi="宋体"/>
                <w:szCs w:val="21"/>
              </w:rPr>
            </w:pPr>
            <w:r>
              <w:rPr>
                <w:rFonts w:hint="eastAsia" w:ascii="宋体" w:hAnsi="宋体"/>
                <w:szCs w:val="21"/>
              </w:rPr>
              <w:t>工程存在较大安全隐患（每项扣5-10分）；</w:t>
            </w:r>
          </w:p>
          <w:p w14:paraId="49CB9862">
            <w:pPr>
              <w:rPr>
                <w:rFonts w:ascii="宋体" w:hAnsi="宋体"/>
                <w:b/>
                <w:szCs w:val="21"/>
              </w:rPr>
            </w:pPr>
            <w:r>
              <w:rPr>
                <w:rFonts w:hint="eastAsia" w:ascii="宋体" w:hAnsi="宋体"/>
                <w:szCs w:val="21"/>
              </w:rPr>
              <w:t>4</w:t>
            </w:r>
            <w:r>
              <w:rPr>
                <w:rFonts w:ascii="宋体" w:hAnsi="宋体"/>
                <w:szCs w:val="21"/>
              </w:rPr>
              <w:t>.</w:t>
            </w:r>
            <w:r>
              <w:rPr>
                <w:rFonts w:hint="eastAsia" w:ascii="宋体" w:hAnsi="宋体"/>
                <w:szCs w:val="21"/>
              </w:rPr>
              <w:t>其它不符合要求或不合规情况（每项扣0.5-2分）。</w:t>
            </w:r>
          </w:p>
        </w:tc>
        <w:tc>
          <w:tcPr>
            <w:tcW w:w="1701" w:type="dxa"/>
            <w:tcBorders>
              <w:top w:val="single" w:color="auto" w:sz="4" w:space="0"/>
              <w:left w:val="single" w:color="auto" w:sz="4" w:space="0"/>
              <w:right w:val="single" w:color="auto" w:sz="4" w:space="0"/>
            </w:tcBorders>
            <w:noWrap w:val="0"/>
            <w:vAlign w:val="center"/>
          </w:tcPr>
          <w:p w14:paraId="4D99483A">
            <w:pPr>
              <w:rPr>
                <w:rFonts w:ascii="宋体" w:hAnsi="宋体"/>
                <w:szCs w:val="21"/>
              </w:rPr>
            </w:pPr>
            <w:r>
              <w:rPr>
                <w:rFonts w:hint="eastAsia" w:ascii="宋体" w:hAnsi="宋体"/>
                <w:szCs w:val="21"/>
              </w:rPr>
              <w:t>工程实体外观质量及整体效果；</w:t>
            </w:r>
          </w:p>
          <w:p w14:paraId="70140AB9">
            <w:pPr>
              <w:rPr>
                <w:rFonts w:ascii="宋体" w:hAnsi="宋体"/>
                <w:szCs w:val="21"/>
              </w:rPr>
            </w:pPr>
            <w:r>
              <w:rPr>
                <w:rFonts w:hint="eastAsia" w:ascii="宋体" w:hAnsi="宋体"/>
                <w:szCs w:val="21"/>
              </w:rPr>
              <w:t>做工精细程度及材料质量；</w:t>
            </w:r>
          </w:p>
          <w:p w14:paraId="4940A5F8">
            <w:pPr>
              <w:rPr>
                <w:rFonts w:ascii="宋体" w:hAnsi="宋体"/>
                <w:szCs w:val="21"/>
              </w:rPr>
            </w:pPr>
            <w:r>
              <w:rPr>
                <w:rFonts w:hint="eastAsia" w:ascii="宋体" w:hAnsi="宋体"/>
                <w:szCs w:val="21"/>
              </w:rPr>
              <w:t>高寒、台风等特殊气候地区的应对措施</w:t>
            </w:r>
          </w:p>
          <w:p w14:paraId="428B44AB">
            <w:pPr>
              <w:rPr>
                <w:rFonts w:ascii="宋体" w:hAnsi="宋体"/>
                <w:szCs w:val="21"/>
              </w:rPr>
            </w:pPr>
          </w:p>
          <w:p w14:paraId="0DF7AE34">
            <w:pPr>
              <w:rPr>
                <w:rFonts w:ascii="宋体" w:hAnsi="宋体"/>
                <w:szCs w:val="21"/>
              </w:rPr>
            </w:pPr>
            <w:r>
              <w:rPr>
                <w:rFonts w:hint="eastAsia" w:ascii="宋体" w:hAnsi="宋体"/>
                <w:szCs w:val="21"/>
              </w:rPr>
              <w:t>工程实体与设计图、竣工图、质量管理资料的符合性；</w:t>
            </w:r>
          </w:p>
        </w:tc>
        <w:tc>
          <w:tcPr>
            <w:tcW w:w="709" w:type="dxa"/>
            <w:tcBorders>
              <w:top w:val="single" w:color="auto" w:sz="4" w:space="0"/>
              <w:left w:val="single" w:color="auto" w:sz="4" w:space="0"/>
              <w:right w:val="single" w:color="auto" w:sz="4" w:space="0"/>
            </w:tcBorders>
            <w:noWrap w:val="0"/>
            <w:vAlign w:val="center"/>
          </w:tcPr>
          <w:p w14:paraId="54BE8FB9">
            <w:pPr>
              <w:rPr>
                <w:rFonts w:ascii="宋体" w:hAnsi="宋体"/>
                <w:szCs w:val="21"/>
              </w:rPr>
            </w:pPr>
            <w:r>
              <w:rPr>
                <w:rFonts w:hint="eastAsia" w:ascii="宋体" w:hAnsi="宋体"/>
                <w:szCs w:val="21"/>
              </w:rPr>
              <w:t>20分</w:t>
            </w:r>
          </w:p>
        </w:tc>
        <w:tc>
          <w:tcPr>
            <w:tcW w:w="2268" w:type="dxa"/>
            <w:tcBorders>
              <w:top w:val="single" w:color="auto" w:sz="4" w:space="0"/>
              <w:left w:val="single" w:color="auto" w:sz="4" w:space="0"/>
              <w:right w:val="single" w:color="auto" w:sz="4" w:space="0"/>
            </w:tcBorders>
            <w:noWrap w:val="0"/>
            <w:vAlign w:val="center"/>
          </w:tcPr>
          <w:p w14:paraId="6E4BEF98">
            <w:pPr>
              <w:rPr>
                <w:rFonts w:ascii="宋体" w:hAnsi="宋体"/>
                <w:szCs w:val="21"/>
              </w:rPr>
            </w:pPr>
            <w:r>
              <w:rPr>
                <w:rFonts w:hint="eastAsia" w:ascii="宋体" w:hAnsi="宋体"/>
                <w:szCs w:val="21"/>
              </w:rPr>
              <w:t>查：工程实体，结合图纸、质量管理资料等。</w:t>
            </w:r>
          </w:p>
        </w:tc>
      </w:tr>
      <w:tr w14:paraId="6EB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71D4DC43">
            <w:pPr>
              <w:jc w:val="center"/>
              <w:rPr>
                <w:rFonts w:hint="eastAsia" w:ascii="宋体" w:hAnsi="宋体"/>
                <w:szCs w:val="21"/>
              </w:rPr>
            </w:pPr>
            <w:r>
              <w:rPr>
                <w:rFonts w:hint="eastAsia" w:ascii="宋体" w:hAnsi="宋体"/>
                <w:szCs w:val="21"/>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5F1E67">
            <w:pPr>
              <w:rPr>
                <w:rFonts w:ascii="宋体" w:hAnsi="宋体"/>
                <w:szCs w:val="21"/>
              </w:rPr>
            </w:pPr>
            <w:r>
              <w:rPr>
                <w:rFonts w:ascii="宋体" w:hAnsi="宋体"/>
                <w:szCs w:val="21"/>
              </w:rPr>
              <w:t>新技术</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598C788">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有创新或采用了新技术、新材料、新工艺、新工法或有利于节能环保等的材料、技术、措施、工艺、工法等；</w:t>
            </w:r>
          </w:p>
          <w:p w14:paraId="4135712A">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获得了与申报工程相关的发明专利、实用新型专利；</w:t>
            </w:r>
          </w:p>
          <w:p w14:paraId="45997735">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申报项目拥有省级或以上工艺工法等；</w:t>
            </w:r>
          </w:p>
          <w:p w14:paraId="26C49A58">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本工程已获得中装协建筑装饰行业科学技术奖。</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4604B7F">
            <w:pPr>
              <w:rPr>
                <w:rFonts w:ascii="宋体" w:hAnsi="宋体"/>
                <w:szCs w:val="21"/>
              </w:rPr>
            </w:pPr>
            <w:r>
              <w:rPr>
                <w:rFonts w:ascii="宋体" w:hAnsi="宋体"/>
                <w:szCs w:val="21"/>
              </w:rPr>
              <w:t>缺少其中内容，扣</w:t>
            </w:r>
            <w:r>
              <w:rPr>
                <w:rFonts w:hint="eastAsia" w:ascii="宋体" w:hAnsi="宋体"/>
                <w:szCs w:val="21"/>
              </w:rPr>
              <w:t>0.5-3分。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DA54099">
            <w:pPr>
              <w:rPr>
                <w:rFonts w:ascii="宋体" w:hAnsi="宋体"/>
                <w:szCs w:val="21"/>
              </w:rPr>
            </w:pPr>
            <w:r>
              <w:rPr>
                <w:rFonts w:ascii="宋体" w:hAnsi="宋体"/>
                <w:szCs w:val="21"/>
              </w:rPr>
              <w:t>无新技术、新材料应用或科技创新的应扣分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A97F70">
            <w:pPr>
              <w:jc w:val="center"/>
              <w:rPr>
                <w:rFonts w:ascii="宋体" w:hAnsi="宋体"/>
                <w:szCs w:val="21"/>
              </w:rPr>
            </w:pPr>
            <w:r>
              <w:rPr>
                <w:rFonts w:hint="eastAsia" w:ascii="宋体" w:hAnsi="宋体"/>
                <w:szCs w:val="21"/>
              </w:rPr>
              <w:t>5分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8E7485">
            <w:pPr>
              <w:rPr>
                <w:rFonts w:ascii="宋体" w:hAnsi="宋体"/>
                <w:szCs w:val="21"/>
              </w:rPr>
            </w:pPr>
            <w:r>
              <w:rPr>
                <w:rFonts w:ascii="宋体" w:hAnsi="宋体"/>
                <w:szCs w:val="21"/>
              </w:rPr>
              <w:t>查：工程实体、图纸、质量管理与技术资料等。</w:t>
            </w:r>
          </w:p>
        </w:tc>
      </w:tr>
      <w:tr w14:paraId="267C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720359C4">
            <w:pPr>
              <w:jc w:val="center"/>
              <w:rPr>
                <w:rFonts w:hint="eastAsia" w:ascii="宋体" w:hAnsi="宋体"/>
                <w:szCs w:val="21"/>
              </w:rPr>
            </w:pPr>
            <w:r>
              <w:rPr>
                <w:rFonts w:hint="eastAsia" w:ascii="宋体" w:hAnsi="宋体"/>
                <w:szCs w:val="21"/>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B2F2D1">
            <w:pPr>
              <w:rPr>
                <w:rFonts w:ascii="宋体" w:hAnsi="宋体"/>
                <w:szCs w:val="21"/>
              </w:rPr>
            </w:pPr>
            <w:r>
              <w:rPr>
                <w:rFonts w:ascii="宋体" w:hAnsi="宋体"/>
                <w:szCs w:val="21"/>
              </w:rPr>
              <w:t>总体印象</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C4EF2EE">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组织工作准备充分，人员到位（项目经理或执行经理、技术负责人或设计施工人员和资料员等相关人员应到场），汇报PPT内容重点突出、简单明了；</w:t>
            </w:r>
          </w:p>
          <w:p w14:paraId="06E0E21A">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资料准备充分有序，易于查找；</w:t>
            </w:r>
          </w:p>
          <w:p w14:paraId="295DD3B0">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用户沟通意见；</w:t>
            </w:r>
          </w:p>
          <w:p w14:paraId="06AB5BEE">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工程实体检查顺畅不受阻。</w:t>
            </w:r>
          </w:p>
          <w:p w14:paraId="4A44AD96">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幕墙装配化使用情况。</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5EF2BDB">
            <w:pPr>
              <w:rPr>
                <w:rFonts w:ascii="宋体" w:hAnsi="宋体"/>
                <w:szCs w:val="21"/>
              </w:rPr>
            </w:pPr>
            <w:r>
              <w:rPr>
                <w:rFonts w:hint="eastAsia" w:ascii="宋体" w:hAnsi="宋体"/>
                <w:szCs w:val="21"/>
              </w:rPr>
              <w:t>1.工程施工主要负责人均未到场（扣1-2分）；</w:t>
            </w:r>
          </w:p>
          <w:p w14:paraId="1CE762CB">
            <w:pPr>
              <w:rPr>
                <w:rFonts w:ascii="宋体" w:hAnsi="宋体"/>
                <w:szCs w:val="21"/>
              </w:rPr>
            </w:pPr>
            <w:r>
              <w:rPr>
                <w:rFonts w:hint="eastAsia" w:ascii="宋体" w:hAnsi="宋体"/>
                <w:szCs w:val="21"/>
              </w:rPr>
              <w:t>2.</w:t>
            </w:r>
            <w:r>
              <w:rPr>
                <w:rFonts w:ascii="宋体" w:hAnsi="宋体"/>
                <w:szCs w:val="21"/>
              </w:rPr>
              <w:t>资料准备无序不齐全（扣</w:t>
            </w:r>
            <w:r>
              <w:rPr>
                <w:rFonts w:hint="eastAsia" w:ascii="宋体" w:hAnsi="宋体"/>
                <w:szCs w:val="21"/>
              </w:rPr>
              <w:t>1-2分</w:t>
            </w:r>
            <w:r>
              <w:rPr>
                <w:rFonts w:ascii="宋体" w:hAnsi="宋体"/>
                <w:szCs w:val="21"/>
              </w:rPr>
              <w:t>）；</w:t>
            </w:r>
          </w:p>
          <w:p w14:paraId="2A842154">
            <w:pPr>
              <w:rPr>
                <w:rFonts w:ascii="宋体" w:hAnsi="宋体"/>
                <w:szCs w:val="21"/>
              </w:rPr>
            </w:pPr>
            <w:r>
              <w:rPr>
                <w:rFonts w:hint="eastAsia" w:ascii="宋体" w:hAnsi="宋体"/>
                <w:szCs w:val="21"/>
              </w:rPr>
              <w:t>3.总体印象不佳（扣1-5分）；</w:t>
            </w:r>
          </w:p>
          <w:p w14:paraId="002E4FD5">
            <w:pPr>
              <w:rPr>
                <w:rFonts w:ascii="宋体" w:hAnsi="宋体"/>
                <w:szCs w:val="21"/>
              </w:rPr>
            </w:pPr>
            <w:r>
              <w:rPr>
                <w:rFonts w:hint="eastAsia" w:ascii="宋体" w:hAnsi="宋体"/>
                <w:szCs w:val="21"/>
              </w:rPr>
              <w:t>4.其它不规范、不到位情况（每项扣0.5-1分）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A8AACD">
            <w:pPr>
              <w:rPr>
                <w:rFonts w:ascii="宋体" w:hAnsi="宋体"/>
                <w:szCs w:val="21"/>
              </w:rPr>
            </w:pPr>
            <w:r>
              <w:rPr>
                <w:rFonts w:hint="eastAsia" w:ascii="宋体" w:hAnsi="宋体"/>
                <w:szCs w:val="21"/>
              </w:rPr>
              <w:t>人员、资料、过程安排准备不足；未做PPT汇报资料等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272CA19">
            <w:pPr>
              <w:jc w:val="center"/>
              <w:rPr>
                <w:rFonts w:ascii="宋体" w:hAnsi="宋体"/>
                <w:szCs w:val="21"/>
              </w:rPr>
            </w:pPr>
            <w:r>
              <w:rPr>
                <w:rFonts w:hint="eastAsia" w:ascii="宋体" w:hAnsi="宋体"/>
                <w:szCs w:val="21"/>
              </w:rPr>
              <w:t>10分</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A7B328">
            <w:pPr>
              <w:rPr>
                <w:rFonts w:ascii="宋体" w:hAnsi="宋体"/>
                <w:szCs w:val="21"/>
              </w:rPr>
            </w:pPr>
            <w:r>
              <w:rPr>
                <w:rFonts w:hint="eastAsia" w:ascii="宋体" w:hAnsi="宋体"/>
                <w:szCs w:val="21"/>
              </w:rPr>
              <w:t>查：</w:t>
            </w:r>
          </w:p>
          <w:p w14:paraId="1245131F">
            <w:pPr>
              <w:rPr>
                <w:rFonts w:ascii="宋体" w:hAnsi="宋体"/>
                <w:szCs w:val="21"/>
              </w:rPr>
            </w:pPr>
            <w:r>
              <w:rPr>
                <w:rFonts w:hint="eastAsia" w:ascii="宋体" w:hAnsi="宋体"/>
                <w:szCs w:val="21"/>
              </w:rPr>
              <w:t>1.组织准备情况；</w:t>
            </w:r>
          </w:p>
          <w:p w14:paraId="2EF73BAB">
            <w:pPr>
              <w:rPr>
                <w:rFonts w:ascii="宋体" w:hAnsi="宋体"/>
                <w:szCs w:val="21"/>
              </w:rPr>
            </w:pPr>
            <w:r>
              <w:rPr>
                <w:rFonts w:hint="eastAsia" w:ascii="宋体" w:hAnsi="宋体"/>
                <w:szCs w:val="21"/>
              </w:rPr>
              <w:t>2.PPT（项目概况、施工范围、重点难点亮点、施工过程中情况图片等，汇报时间10分钟内）；</w:t>
            </w:r>
          </w:p>
          <w:p w14:paraId="66C63EBB">
            <w:pPr>
              <w:rPr>
                <w:rFonts w:ascii="宋体" w:hAnsi="宋体"/>
                <w:szCs w:val="21"/>
              </w:rPr>
            </w:pPr>
            <w:r>
              <w:rPr>
                <w:rFonts w:hint="eastAsia" w:ascii="宋体" w:hAnsi="宋体"/>
                <w:szCs w:val="21"/>
              </w:rPr>
              <w:t>3.用户意见等。</w:t>
            </w:r>
          </w:p>
        </w:tc>
      </w:tr>
    </w:tbl>
    <w:p w14:paraId="2DC648A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BADA9"/>
    <w:multiLevelType w:val="singleLevel"/>
    <w:tmpl w:val="FA7BADA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4BB85FAD"/>
    <w:rsid w:val="388C7945"/>
    <w:rsid w:val="4BB8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10665</Words>
  <Characters>12400</Characters>
  <Lines>0</Lines>
  <Paragraphs>0</Paragraphs>
  <TotalTime>10</TotalTime>
  <ScaleCrop>false</ScaleCrop>
  <LinksUpToDate>false</LinksUpToDate>
  <CharactersWithSpaces>12418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2024-03-12T10:56:00Z</dcterms:created>
  <dc:creator>李艳</dc:creator>
  <cp:lastModifiedBy>Administrator</cp:lastModifiedBy>
  <dcterms:modified xsi:type="dcterms:W3CDTF">2025-05-23T05:33:41Z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541CC0E11EB747C481118F80F82C0698_13</vt:lpwstr>
  </property>
  <property fmtid="{D5CDD505-2E9C-101B-9397-08002B2CF9AE}" pid="4" name="KSOTemplateDocerSaveRecord">
    <vt:lpwstr>eyJoZGlkIjoiNjE2MjljZjY2MWU4YTIzMmIxMjA4ZDU1OWQ2MWI0YTcifQ==</vt:lpwstr>
  </property>
</Properties>
</file>